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body>
    <w:p w:rsidR="00B61180" w:rsidP="5F644D18" w:rsidRDefault="00B61180" w14:paraId="2C1A6FF5" w14:textId="398B27E0">
      <w:pPr>
        <w:pStyle w:val="Normal"/>
        <w:jc w:val="center"/>
      </w:pPr>
    </w:p>
    <w:p w:rsidR="00B61180" w:rsidP="5F644D18" w:rsidRDefault="00B61180" w14:paraId="5B19C695" w14:textId="3AA842AB">
      <w:pPr>
        <w:pStyle w:val="Normal"/>
        <w:jc w:val="center"/>
      </w:pPr>
    </w:p>
    <w:p w:rsidR="00B61180" w:rsidP="5F644D18" w:rsidRDefault="00B61180" w14:paraId="5507C99D" w14:textId="0481525C">
      <w:pPr>
        <w:pStyle w:val="Normal"/>
        <w:jc w:val="center"/>
      </w:pPr>
      <w:r w:rsidR="14A968AB">
        <w:drawing>
          <wp:inline wp14:editId="232A5178" wp14:anchorId="7FAF0C99">
            <wp:extent cx="6315075" cy="2705100"/>
            <wp:effectExtent l="0" t="0" r="0" b="0"/>
            <wp:docPr id="1020975128"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020975128" name="Picture 1020975128"/>
                    <pic:cNvPicPr/>
                  </pic:nvPicPr>
                  <pic:blipFill>
                    <a:blip xmlns:r="http://schemas.openxmlformats.org/officeDocument/2006/relationships" r:embed="rId652643166">
                      <a:extLst>
                        <a:ext uri="{28A0092B-C50C-407E-A947-70E740481C1C}">
                          <a14:useLocalDpi xmlns:a14="http://schemas.microsoft.com/office/drawing/2010/main"/>
                        </a:ext>
                      </a:extLst>
                    </a:blip>
                    <a:stretch>
                      <a:fillRect/>
                    </a:stretch>
                  </pic:blipFill>
                  <pic:spPr>
                    <a:xfrm>
                      <a:off x="0" y="0"/>
                      <a:ext cx="6315075" cy="2705100"/>
                    </a:xfrm>
                    <a:prstGeom prst="rect">
                      <a:avLst/>
                    </a:prstGeom>
                  </pic:spPr>
                </pic:pic>
              </a:graphicData>
            </a:graphic>
          </wp:inline>
        </w:drawing>
      </w:r>
    </w:p>
    <w:p w:rsidR="00B61180" w:rsidP="5F644D18" w:rsidRDefault="00B61180" w14:paraId="11544881" w14:textId="27180C88">
      <w:pPr>
        <w:pStyle w:val="Normal"/>
        <w:jc w:val="right"/>
      </w:pPr>
    </w:p>
    <w:p w:rsidR="00B61180" w:rsidP="5F644D18" w:rsidRDefault="00B61180" w14:paraId="2BA22580" w14:textId="528036AE">
      <w:pPr>
        <w:pStyle w:val="Normal"/>
        <w:jc w:val="right"/>
      </w:pPr>
    </w:p>
    <w:p w:rsidR="00B61180" w:rsidP="5F644D18" w:rsidRDefault="00B61180" w14:paraId="2D33C69E" w14:textId="595FC5FB">
      <w:pPr>
        <w:pStyle w:val="Normal"/>
        <w:jc w:val="right"/>
      </w:pPr>
    </w:p>
    <w:p w:rsidR="00B61180" w:rsidP="5F644D18" w:rsidRDefault="00B61180" w14:paraId="0B59CC80" w14:textId="62D35241">
      <w:pPr>
        <w:pStyle w:val="Normal"/>
        <w:jc w:val="right"/>
        <w:rPr>
          <w:rFonts w:ascii="Arial" w:hAnsi="Arial" w:cs="Arial"/>
          <w:b w:val="1"/>
          <w:bCs w:val="1"/>
          <w:sz w:val="24"/>
          <w:szCs w:val="24"/>
          <w:lang w:val="es-ES"/>
        </w:rPr>
      </w:pPr>
      <w:r w:rsidR="14A968AB">
        <w:drawing>
          <wp:inline wp14:editId="263D948C" wp14:anchorId="36969B01">
            <wp:extent cx="4025900" cy="1308100"/>
            <wp:effectExtent l="0" t="0" r="0" b="0"/>
            <wp:docPr id="1488341212" name="Imagen 2"/>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0" name="Picture 6"/>
                    <pic:cNvPicPr>
                      <a:picLocks noChangeAspect="1" noChangeArrowheads="1"/>
                    </pic:cNvPicPr>
                  </pic:nvPicPr>
                  <pic:blipFill>
                    <a:blip xmlns:r="http://schemas.openxmlformats.org/officeDocument/2006/relationships" r:embed="rId11">
                      <a:extLst>
                        <a:ext uri="{28A0092B-C50C-407E-A947-70E740481C1C}">
                          <a14:useLocalDpi xmlns:a14="http://schemas.microsoft.com/office/drawing/2010/main" val="0"/>
                        </a:ext>
                      </a:extLst>
                    </a:blip>
                    <a:srcRect/>
                    <a:stretch>
                      <a:fillRect/>
                    </a:stretch>
                  </pic:blipFill>
                  <pic:spPr bwMode="auto">
                    <a:xfrm>
                      <a:off x="0" y="0"/>
                      <a:ext cx="4025900" cy="1308100"/>
                    </a:xfrm>
                    <a:prstGeom prst="rect">
                      <a:avLst/>
                    </a:prstGeom>
                    <a:noFill/>
                    <a:ln>
                      <a:noFill/>
                    </a:ln>
                  </pic:spPr>
                </pic:pic>
              </a:graphicData>
            </a:graphic>
          </wp:inline>
        </w:drawing>
      </w:r>
    </w:p>
    <w:p w:rsidR="5F644D18" w:rsidP="5F644D18" w:rsidRDefault="5F644D18" w14:paraId="06443050" w14:textId="7FD09859">
      <w:pPr>
        <w:pStyle w:val="Normal"/>
        <w:jc w:val="right"/>
        <w:rPr>
          <w:rFonts w:ascii="Arial" w:hAnsi="Arial" w:cs="Arial"/>
          <w:b w:val="1"/>
          <w:bCs w:val="1"/>
          <w:sz w:val="24"/>
          <w:szCs w:val="24"/>
        </w:rPr>
      </w:pPr>
    </w:p>
    <w:p w:rsidRPr="00DC5B9E" w:rsidR="00B61180" w:rsidP="00B61180" w:rsidRDefault="00B61180" w14:paraId="0F06FB48" w14:textId="77777777">
      <w:pPr>
        <w:jc w:val="center"/>
        <w:rPr>
          <w:rFonts w:ascii="Arial" w:hAnsi="Arial" w:cs="Arial"/>
          <w:b/>
          <w:bCs/>
          <w:sz w:val="24"/>
          <w:szCs w:val="24"/>
          <w:lang w:val="es-ES"/>
        </w:rPr>
      </w:pPr>
    </w:p>
    <w:p w:rsidRPr="00DC5B9E" w:rsidR="00B61180" w:rsidP="00B61180" w:rsidRDefault="00B61180" w14:paraId="19E2B627" w14:textId="77777777">
      <w:pPr>
        <w:jc w:val="center"/>
        <w:rPr>
          <w:rFonts w:ascii="Arial" w:hAnsi="Arial" w:cs="Arial"/>
          <w:b/>
          <w:bCs/>
          <w:sz w:val="24"/>
          <w:szCs w:val="24"/>
          <w:lang w:val="es-ES"/>
        </w:rPr>
      </w:pPr>
      <w:r w:rsidRPr="00DC5B9E">
        <w:rPr>
          <w:rFonts w:ascii="Arial" w:hAnsi="Arial" w:cs="Arial"/>
          <w:b/>
          <w:bCs/>
          <w:sz w:val="24"/>
          <w:szCs w:val="24"/>
          <w:lang w:val="es-ES"/>
        </w:rPr>
        <w:t> </w:t>
      </w:r>
    </w:p>
    <w:p w:rsidRPr="00DC5B9E" w:rsidR="00B61180" w:rsidP="00B61180" w:rsidRDefault="00B61180" w14:paraId="2972A41A" w14:textId="77777777">
      <w:pPr>
        <w:jc w:val="center"/>
        <w:rPr>
          <w:rFonts w:ascii="Arial" w:hAnsi="Arial" w:cs="Arial"/>
          <w:b/>
          <w:bCs/>
          <w:sz w:val="24"/>
          <w:szCs w:val="24"/>
          <w:lang w:val="es-ES"/>
        </w:rPr>
      </w:pPr>
      <w:r w:rsidRPr="00DC5B9E">
        <w:rPr>
          <w:rFonts w:ascii="Arial" w:hAnsi="Arial" w:cs="Arial"/>
          <w:b/>
          <w:bCs/>
          <w:sz w:val="24"/>
          <w:szCs w:val="24"/>
          <w:lang w:val="es-ES"/>
        </w:rPr>
        <w:t> </w:t>
      </w:r>
    </w:p>
    <w:p w:rsidRPr="00DC5B9E" w:rsidR="00B61180" w:rsidP="00B61180" w:rsidRDefault="00B61180" w14:paraId="2E0E3A2F" w14:textId="77777777">
      <w:pPr>
        <w:jc w:val="center"/>
        <w:rPr>
          <w:rFonts w:ascii="Arial" w:hAnsi="Arial" w:cs="Arial"/>
          <w:b/>
          <w:bCs/>
          <w:sz w:val="24"/>
          <w:szCs w:val="24"/>
          <w:lang w:val="es-ES"/>
        </w:rPr>
      </w:pPr>
      <w:r w:rsidRPr="00DC5B9E">
        <w:rPr>
          <w:rFonts w:ascii="Arial" w:hAnsi="Arial" w:cs="Arial"/>
          <w:b/>
          <w:bCs/>
          <w:sz w:val="24"/>
          <w:szCs w:val="24"/>
          <w:lang w:val="es-ES"/>
        </w:rPr>
        <w:t> </w:t>
      </w:r>
    </w:p>
    <w:p w:rsidRPr="00DC5B9E" w:rsidR="00B61180" w:rsidP="00B61180" w:rsidRDefault="00B61180" w14:paraId="54E344D1" w14:textId="3953198D">
      <w:pPr>
        <w:jc w:val="center"/>
        <w:rPr>
          <w:rFonts w:ascii="Arial" w:hAnsi="Arial" w:cs="Arial"/>
          <w:b w:val="1"/>
          <w:bCs w:val="1"/>
          <w:sz w:val="24"/>
          <w:szCs w:val="24"/>
          <w:lang w:val="es-ES"/>
        </w:rPr>
      </w:pPr>
    </w:p>
    <w:p w:rsidR="00B61180" w:rsidP="00B61180" w:rsidRDefault="00B61180" w14:paraId="7530643A" w14:textId="77777777">
      <w:pPr>
        <w:rPr>
          <w:rFonts w:ascii="Arial" w:hAnsi="Arial" w:cs="Arial"/>
          <w:b/>
          <w:bCs/>
          <w:sz w:val="24"/>
          <w:szCs w:val="24"/>
        </w:rPr>
      </w:pPr>
    </w:p>
    <w:p w:rsidRPr="00DC5B9E" w:rsidR="00B61180" w:rsidP="00B61180" w:rsidRDefault="00B61180" w14:paraId="5C81EC05" w14:textId="77777777">
      <w:pPr>
        <w:rPr>
          <w:rFonts w:ascii="Arial" w:hAnsi="Arial" w:cs="Arial"/>
          <w:sz w:val="24"/>
          <w:szCs w:val="24"/>
        </w:rPr>
      </w:pPr>
      <w:r w:rsidRPr="00DC5B9E">
        <w:rPr>
          <w:rFonts w:ascii="Arial" w:hAnsi="Arial" w:cs="Arial"/>
          <w:sz w:val="24"/>
          <w:szCs w:val="24"/>
        </w:rPr>
        <w:t>TABLA DE CONTENIDO</w:t>
      </w:r>
    </w:p>
    <w:p w:rsidRPr="00DC5B9E" w:rsidR="00B61180" w:rsidP="00B61180" w:rsidRDefault="00B61180" w14:paraId="7F486BD5" w14:textId="77777777">
      <w:pPr>
        <w:rPr>
          <w:rFonts w:ascii="Arial" w:hAnsi="Arial" w:cs="Arial"/>
          <w:sz w:val="24"/>
          <w:szCs w:val="24"/>
        </w:rPr>
      </w:pPr>
      <w:r w:rsidRPr="00DC5B9E">
        <w:rPr>
          <w:rFonts w:ascii="Arial" w:hAnsi="Arial" w:cs="Arial"/>
          <w:sz w:val="24"/>
          <w:szCs w:val="24"/>
        </w:rPr>
        <w:t>Presentación</w:t>
      </w:r>
    </w:p>
    <w:p w:rsidRPr="00DC5B9E" w:rsidR="00B61180" w:rsidP="00B61180" w:rsidRDefault="00B61180" w14:paraId="185DB96D" w14:textId="02F91B36">
      <w:pPr/>
      <w:r w:rsidRPr="5F644D18" w:rsidR="00B61180">
        <w:rPr>
          <w:rFonts w:ascii="Arial" w:hAnsi="Arial" w:cs="Arial"/>
          <w:sz w:val="24"/>
          <w:szCs w:val="24"/>
        </w:rPr>
        <w:t>CAPÍTULO 1. EL SISTEMA DE FISCALIZACIÓN DE LA GESTIÓN DE LA RESOLUCIÓN</w:t>
      </w:r>
      <w:r>
        <w:br/>
      </w:r>
      <w:r w:rsidRPr="5F644D18" w:rsidR="00B61180">
        <w:rPr>
          <w:rFonts w:ascii="Arial" w:hAnsi="Arial" w:cs="Arial"/>
          <w:sz w:val="24"/>
          <w:szCs w:val="24"/>
        </w:rPr>
        <w:t>1.1. Marco de referencia</w:t>
      </w:r>
      <w:r>
        <w:br/>
      </w:r>
      <w:r w:rsidRPr="5F644D18" w:rsidR="00B61180">
        <w:rPr>
          <w:rFonts w:ascii="Arial" w:hAnsi="Arial" w:cs="Arial"/>
          <w:sz w:val="24"/>
          <w:szCs w:val="24"/>
        </w:rPr>
        <w:t>1.2. Definición y objetivo del Sistema de Fiscalización</w:t>
      </w:r>
      <w:r>
        <w:br/>
      </w:r>
      <w:r w:rsidRPr="5F644D18" w:rsidR="00B61180">
        <w:rPr>
          <w:rFonts w:ascii="Arial" w:hAnsi="Arial" w:cs="Arial"/>
          <w:sz w:val="24"/>
          <w:szCs w:val="24"/>
        </w:rPr>
        <w:t>1.3. Deberes del Sistema de Fiscalización</w:t>
      </w:r>
      <w:r>
        <w:br/>
      </w:r>
      <w:r w:rsidRPr="5F644D18" w:rsidR="00B61180">
        <w:rPr>
          <w:rFonts w:ascii="Arial" w:hAnsi="Arial" w:cs="Arial"/>
          <w:sz w:val="24"/>
          <w:szCs w:val="24"/>
        </w:rPr>
        <w:t>1.4. Principios orientadores del Sistema de Fiscalización</w:t>
      </w:r>
      <w:r>
        <w:br/>
      </w:r>
      <w:r w:rsidRPr="5F644D18" w:rsidR="00B61180">
        <w:rPr>
          <w:rFonts w:ascii="Arial" w:hAnsi="Arial" w:cs="Arial"/>
          <w:sz w:val="24"/>
          <w:szCs w:val="24"/>
        </w:rPr>
        <w:t>1.5. El Sistema de Fiscalización como engranaje de los seis temas ineludibles</w:t>
      </w:r>
    </w:p>
    <w:p w:rsidRPr="00DC5B9E" w:rsidR="00B61180" w:rsidP="00B61180" w:rsidRDefault="00B61180" w14:paraId="5E9F4591" w14:textId="4AABAEC7">
      <w:pPr>
        <w:rPr>
          <w:rFonts w:ascii="Arial" w:hAnsi="Arial" w:cs="Arial"/>
          <w:sz w:val="24"/>
          <w:szCs w:val="24"/>
        </w:rPr>
      </w:pPr>
      <w:r w:rsidRPr="5F644D18" w:rsidR="00B61180">
        <w:rPr>
          <w:rFonts w:ascii="Arial" w:hAnsi="Arial" w:cs="Arial"/>
          <w:sz w:val="24"/>
          <w:szCs w:val="24"/>
        </w:rPr>
        <w:t>CAPÍTULO 2. ACTORES DEL SISTEMA</w:t>
      </w:r>
      <w:r>
        <w:br/>
      </w:r>
      <w:r w:rsidRPr="5F644D18" w:rsidR="00B61180">
        <w:rPr>
          <w:rFonts w:ascii="Arial" w:hAnsi="Arial" w:cs="Arial"/>
          <w:sz w:val="24"/>
          <w:szCs w:val="24"/>
        </w:rPr>
        <w:t>2.1. Actores permanentes</w:t>
      </w:r>
      <w:r>
        <w:br/>
      </w:r>
      <w:r w:rsidRPr="5F644D18" w:rsidR="00B61180">
        <w:rPr>
          <w:rFonts w:ascii="Arial" w:hAnsi="Arial" w:cs="Arial"/>
          <w:sz w:val="24"/>
          <w:szCs w:val="24"/>
        </w:rPr>
        <w:t>2.2. Actores activables</w:t>
      </w:r>
      <w:r>
        <w:br/>
      </w:r>
      <w:r w:rsidRPr="5F644D18" w:rsidR="00B61180">
        <w:rPr>
          <w:rFonts w:ascii="Arial" w:hAnsi="Arial" w:cs="Arial"/>
          <w:sz w:val="24"/>
          <w:szCs w:val="24"/>
        </w:rPr>
        <w:t>2.3. Actores de acompañamiento técnico, científico y académico</w:t>
      </w:r>
      <w:r>
        <w:br/>
      </w:r>
      <w:r w:rsidRPr="5F644D18" w:rsidR="00B61180">
        <w:rPr>
          <w:rFonts w:ascii="Arial" w:hAnsi="Arial" w:cs="Arial"/>
          <w:sz w:val="24"/>
          <w:szCs w:val="24"/>
        </w:rPr>
        <w:t>2.4. Comunidades y organizaciones sociales: formas diferenciadas de participación</w:t>
      </w:r>
    </w:p>
    <w:p w:rsidRPr="00DC5B9E" w:rsidR="00B61180" w:rsidP="00B61180" w:rsidRDefault="00B61180" w14:paraId="1F3CA3A5" w14:textId="77777777">
      <w:pPr>
        <w:rPr>
          <w:rFonts w:ascii="Arial" w:hAnsi="Arial" w:cs="Arial"/>
          <w:sz w:val="24"/>
          <w:szCs w:val="24"/>
        </w:rPr>
      </w:pPr>
      <w:r w:rsidRPr="00DC5B9E">
        <w:rPr>
          <w:rFonts w:ascii="Arial" w:hAnsi="Arial" w:cs="Arial"/>
          <w:sz w:val="24"/>
          <w:szCs w:val="24"/>
        </w:rPr>
        <w:t>CAPÍTULO 3. ARQUITECTURA Y FUNCIONAMIENTO DEL SISTEMA</w:t>
      </w:r>
      <w:r w:rsidRPr="00DC5B9E">
        <w:rPr>
          <w:rFonts w:ascii="Arial" w:hAnsi="Arial" w:cs="Arial"/>
          <w:sz w:val="24"/>
          <w:szCs w:val="24"/>
        </w:rPr>
        <w:br/>
      </w:r>
      <w:r w:rsidRPr="00DC5B9E">
        <w:rPr>
          <w:rFonts w:ascii="Arial" w:hAnsi="Arial" w:cs="Arial"/>
          <w:sz w:val="24"/>
          <w:szCs w:val="24"/>
        </w:rPr>
        <w:t>3.1. Componentes del Sistema</w:t>
      </w:r>
      <w:r w:rsidRPr="00DC5B9E">
        <w:rPr>
          <w:rFonts w:ascii="Arial" w:hAnsi="Arial" w:cs="Arial"/>
          <w:sz w:val="24"/>
          <w:szCs w:val="24"/>
        </w:rPr>
        <w:br/>
      </w:r>
      <w:r w:rsidRPr="00DC5B9E">
        <w:rPr>
          <w:rFonts w:ascii="Arial" w:hAnsi="Arial" w:cs="Arial"/>
          <w:sz w:val="24"/>
          <w:szCs w:val="24"/>
        </w:rPr>
        <w:t>3.2. Flujo de información</w:t>
      </w:r>
      <w:r w:rsidRPr="00DC5B9E">
        <w:rPr>
          <w:rFonts w:ascii="Arial" w:hAnsi="Arial" w:cs="Arial"/>
          <w:sz w:val="24"/>
          <w:szCs w:val="24"/>
        </w:rPr>
        <w:br/>
      </w:r>
      <w:r w:rsidRPr="00DC5B9E">
        <w:rPr>
          <w:rFonts w:ascii="Arial" w:hAnsi="Arial" w:cs="Arial"/>
          <w:sz w:val="24"/>
          <w:szCs w:val="24"/>
        </w:rPr>
        <w:t>3.3. Registro y gestión de alertas</w:t>
      </w:r>
      <w:r w:rsidRPr="00DC5B9E">
        <w:rPr>
          <w:rFonts w:ascii="Arial" w:hAnsi="Arial" w:cs="Arial"/>
          <w:sz w:val="24"/>
          <w:szCs w:val="24"/>
        </w:rPr>
        <w:br/>
      </w:r>
      <w:r w:rsidRPr="00DC5B9E">
        <w:rPr>
          <w:rFonts w:ascii="Arial" w:hAnsi="Arial" w:cs="Arial"/>
          <w:sz w:val="24"/>
          <w:szCs w:val="24"/>
        </w:rPr>
        <w:t>3.4. Mecanismos de seguimiento y trazabilidad</w:t>
      </w:r>
      <w:r w:rsidRPr="00DC5B9E">
        <w:rPr>
          <w:rFonts w:ascii="Arial" w:hAnsi="Arial" w:cs="Arial"/>
          <w:sz w:val="24"/>
          <w:szCs w:val="24"/>
        </w:rPr>
        <w:br/>
      </w:r>
      <w:r w:rsidRPr="00DC5B9E">
        <w:rPr>
          <w:rFonts w:ascii="Arial" w:hAnsi="Arial" w:cs="Arial"/>
          <w:sz w:val="24"/>
          <w:szCs w:val="24"/>
        </w:rPr>
        <w:t>3.5. Transparencia y acceso a la información</w:t>
      </w:r>
      <w:r w:rsidRPr="00DC5B9E">
        <w:rPr>
          <w:rFonts w:ascii="Arial" w:hAnsi="Arial" w:cs="Arial"/>
          <w:sz w:val="24"/>
          <w:szCs w:val="24"/>
        </w:rPr>
        <w:br/>
      </w:r>
      <w:r w:rsidRPr="00DC5B9E">
        <w:rPr>
          <w:rFonts w:ascii="Arial" w:hAnsi="Arial" w:cs="Arial"/>
          <w:sz w:val="24"/>
          <w:szCs w:val="24"/>
        </w:rPr>
        <w:t>3.6. Rendición de cuentas</w:t>
      </w:r>
      <w:r w:rsidRPr="00DC5B9E">
        <w:rPr>
          <w:rFonts w:ascii="Arial" w:hAnsi="Arial" w:cs="Arial"/>
          <w:sz w:val="24"/>
          <w:szCs w:val="24"/>
        </w:rPr>
        <w:br/>
      </w:r>
      <w:r w:rsidRPr="00DC5B9E">
        <w:rPr>
          <w:rFonts w:ascii="Arial" w:hAnsi="Arial" w:cs="Arial"/>
          <w:sz w:val="24"/>
          <w:szCs w:val="24"/>
        </w:rPr>
        <w:t>3.7. Participación ciudadana y control social</w:t>
      </w:r>
    </w:p>
    <w:p w:rsidRPr="00DC5B9E" w:rsidR="00B61180" w:rsidP="00B61180" w:rsidRDefault="00B61180" w14:paraId="745EADDB" w14:textId="77777777">
      <w:pPr>
        <w:rPr>
          <w:rFonts w:ascii="Arial" w:hAnsi="Arial" w:cs="Arial"/>
          <w:sz w:val="24"/>
          <w:szCs w:val="24"/>
        </w:rPr>
      </w:pPr>
      <w:r w:rsidRPr="00DC5B9E">
        <w:rPr>
          <w:rFonts w:ascii="Arial" w:hAnsi="Arial" w:cs="Arial"/>
          <w:sz w:val="24"/>
          <w:szCs w:val="24"/>
        </w:rPr>
        <w:t>CAPÍTULO 4. PROTOCOLO OPERATIVO DEL SISTEMA</w:t>
      </w:r>
      <w:r w:rsidRPr="00DC5B9E">
        <w:rPr>
          <w:rFonts w:ascii="Arial" w:hAnsi="Arial" w:cs="Arial"/>
          <w:sz w:val="24"/>
          <w:szCs w:val="24"/>
        </w:rPr>
        <w:br/>
      </w:r>
      <w:r w:rsidRPr="00DC5B9E">
        <w:rPr>
          <w:rFonts w:ascii="Arial" w:hAnsi="Arial" w:cs="Arial"/>
          <w:sz w:val="24"/>
          <w:szCs w:val="24"/>
        </w:rPr>
        <w:t>4.1. Procedimiento para la recepción y gestión de alertas</w:t>
      </w:r>
      <w:r w:rsidRPr="00DC5B9E">
        <w:rPr>
          <w:rFonts w:ascii="Arial" w:hAnsi="Arial" w:cs="Arial"/>
          <w:sz w:val="24"/>
          <w:szCs w:val="24"/>
        </w:rPr>
        <w:br/>
      </w:r>
      <w:r w:rsidRPr="00DC5B9E">
        <w:rPr>
          <w:rFonts w:ascii="Arial" w:hAnsi="Arial" w:cs="Arial"/>
          <w:sz w:val="24"/>
          <w:szCs w:val="24"/>
        </w:rPr>
        <w:t>4.2. Clasificación y remisión de alertas</w:t>
      </w:r>
      <w:r w:rsidRPr="00DC5B9E">
        <w:rPr>
          <w:rFonts w:ascii="Arial" w:hAnsi="Arial" w:cs="Arial"/>
          <w:sz w:val="24"/>
          <w:szCs w:val="24"/>
        </w:rPr>
        <w:br/>
      </w:r>
      <w:r w:rsidRPr="00DC5B9E">
        <w:rPr>
          <w:rFonts w:ascii="Arial" w:hAnsi="Arial" w:cs="Arial"/>
          <w:sz w:val="24"/>
          <w:szCs w:val="24"/>
        </w:rPr>
        <w:t>4.3. Seguimiento institucional</w:t>
      </w:r>
      <w:r w:rsidRPr="00DC5B9E">
        <w:rPr>
          <w:rFonts w:ascii="Arial" w:hAnsi="Arial" w:cs="Arial"/>
          <w:sz w:val="24"/>
          <w:szCs w:val="24"/>
        </w:rPr>
        <w:br/>
      </w:r>
      <w:r w:rsidRPr="00DC5B9E">
        <w:rPr>
          <w:rFonts w:ascii="Arial" w:hAnsi="Arial" w:cs="Arial"/>
          <w:sz w:val="24"/>
          <w:szCs w:val="24"/>
        </w:rPr>
        <w:t>4.4. Evaluación y verificación</w:t>
      </w:r>
      <w:r w:rsidRPr="00DC5B9E">
        <w:rPr>
          <w:rFonts w:ascii="Arial" w:hAnsi="Arial" w:cs="Arial"/>
          <w:sz w:val="24"/>
          <w:szCs w:val="24"/>
        </w:rPr>
        <w:br/>
      </w:r>
      <w:r w:rsidRPr="00DC5B9E">
        <w:rPr>
          <w:rFonts w:ascii="Arial" w:hAnsi="Arial" w:cs="Arial"/>
          <w:sz w:val="24"/>
          <w:szCs w:val="24"/>
        </w:rPr>
        <w:t>4.5. Mejora continua</w:t>
      </w:r>
    </w:p>
    <w:p w:rsidRPr="00DC5B9E" w:rsidR="00B61180" w:rsidP="5F644D18" w:rsidRDefault="00B61180" w14:paraId="25691400" w14:textId="7E152D20">
      <w:pPr>
        <w:rPr>
          <w:rFonts w:ascii="Arial" w:hAnsi="Arial" w:cs="Arial"/>
          <w:sz w:val="24"/>
          <w:szCs w:val="24"/>
        </w:rPr>
      </w:pPr>
      <w:r w:rsidRPr="5F644D18" w:rsidR="00B61180">
        <w:rPr>
          <w:rFonts w:ascii="Arial" w:hAnsi="Arial" w:cs="Arial"/>
          <w:sz w:val="24"/>
          <w:szCs w:val="24"/>
        </w:rPr>
        <w:t>CAPÍTULO 5. HERRAMIENTAS DE GESTIÓN DEL SISTEMA</w:t>
      </w:r>
      <w:r>
        <w:br/>
      </w:r>
      <w:r w:rsidRPr="5F644D18" w:rsidR="00B61180">
        <w:rPr>
          <w:rFonts w:ascii="Arial" w:hAnsi="Arial" w:cs="Arial"/>
          <w:sz w:val="24"/>
          <w:szCs w:val="24"/>
        </w:rPr>
        <w:t>5.1. Repositorio de información</w:t>
      </w:r>
      <w:r>
        <w:br/>
      </w:r>
      <w:r w:rsidRPr="5F644D18" w:rsidR="00B61180">
        <w:rPr>
          <w:rFonts w:ascii="Arial" w:hAnsi="Arial" w:cs="Arial"/>
          <w:sz w:val="24"/>
          <w:szCs w:val="24"/>
        </w:rPr>
        <w:t>5.2. Indicadores de seguimiento</w:t>
      </w:r>
      <w:r>
        <w:br/>
      </w:r>
      <w:r w:rsidRPr="5F644D18" w:rsidR="00B61180">
        <w:rPr>
          <w:rFonts w:ascii="Arial" w:hAnsi="Arial" w:cs="Arial"/>
          <w:sz w:val="24"/>
          <w:szCs w:val="24"/>
        </w:rPr>
        <w:t>5.3. Reportes periódicos</w:t>
      </w:r>
      <w:r>
        <w:br/>
      </w:r>
      <w:r w:rsidRPr="5F644D18" w:rsidR="00B61180">
        <w:rPr>
          <w:rFonts w:ascii="Arial" w:hAnsi="Arial" w:cs="Arial"/>
          <w:sz w:val="24"/>
          <w:szCs w:val="24"/>
        </w:rPr>
        <w:t>5.4. Balance Anual del Sistema</w:t>
      </w:r>
      <w:r>
        <w:br/>
      </w:r>
      <w:r w:rsidRPr="5F644D18" w:rsidR="00B61180">
        <w:rPr>
          <w:rFonts w:ascii="Arial" w:hAnsi="Arial" w:cs="Arial"/>
          <w:sz w:val="24"/>
          <w:szCs w:val="24"/>
        </w:rPr>
        <w:t>5.5. Tablero de contro</w:t>
      </w:r>
      <w:r w:rsidRPr="5F644D18" w:rsidR="7EE1BD0E">
        <w:rPr>
          <w:rFonts w:ascii="Arial" w:hAnsi="Arial" w:cs="Arial"/>
          <w:sz w:val="24"/>
          <w:szCs w:val="24"/>
        </w:rPr>
        <w:t>l</w:t>
      </w:r>
    </w:p>
    <w:p w:rsidR="00B61180" w:rsidP="00B61180" w:rsidRDefault="00B61180" w14:paraId="4B310410" w14:textId="77777777">
      <w:pPr>
        <w:rPr>
          <w:rFonts w:ascii="Arial" w:hAnsi="Arial" w:cs="Arial"/>
          <w:b/>
          <w:bCs/>
          <w:sz w:val="24"/>
          <w:szCs w:val="24"/>
        </w:rPr>
      </w:pPr>
      <w:r w:rsidRPr="1AB6159B">
        <w:rPr>
          <w:rFonts w:ascii="Arial" w:hAnsi="Arial" w:cs="Arial"/>
          <w:b/>
          <w:bCs/>
          <w:sz w:val="24"/>
          <w:szCs w:val="24"/>
        </w:rPr>
        <w:t>CAPÍTULO 1. QUÉ ES EL SISTEMA DE FISCALIZACIÓN Y PARA QUÉ EXISTE</w:t>
      </w:r>
    </w:p>
    <w:p w:rsidR="00B61180" w:rsidP="00B61180" w:rsidRDefault="00B61180" w14:paraId="3275BF44" w14:textId="77777777">
      <w:pPr>
        <w:pStyle w:val="Prrafodelista"/>
        <w:numPr>
          <w:ilvl w:val="1"/>
          <w:numId w:val="29"/>
        </w:numPr>
        <w:jc w:val="both"/>
        <w:rPr>
          <w:rFonts w:ascii="Arial" w:hAnsi="Arial" w:cs="Arial"/>
          <w:b/>
          <w:bCs/>
          <w:sz w:val="24"/>
          <w:szCs w:val="24"/>
        </w:rPr>
      </w:pPr>
      <w:r w:rsidRPr="1AB6159B">
        <w:rPr>
          <w:rFonts w:ascii="Arial" w:hAnsi="Arial" w:cs="Arial"/>
          <w:b/>
          <w:bCs/>
          <w:sz w:val="24"/>
          <w:szCs w:val="24"/>
        </w:rPr>
        <w:t xml:space="preserve">Marco de referencia </w:t>
      </w:r>
    </w:p>
    <w:p w:rsidR="00B61180" w:rsidP="00B61180" w:rsidRDefault="00B61180" w14:paraId="6A376B4B" w14:textId="77777777">
      <w:pPr>
        <w:jc w:val="both"/>
        <w:rPr>
          <w:rFonts w:ascii="Arial" w:hAnsi="Arial" w:cs="Arial"/>
          <w:sz w:val="24"/>
          <w:szCs w:val="24"/>
        </w:rPr>
      </w:pPr>
      <w:r w:rsidRPr="1AB6159B">
        <w:rPr>
          <w:rFonts w:ascii="Arial" w:hAnsi="Arial" w:cs="Arial"/>
          <w:sz w:val="24"/>
          <w:szCs w:val="24"/>
        </w:rPr>
        <w:t xml:space="preserve">El sistema de fiscalización en el marco de la sentencia T-361 de 2017 de la Corte Constitucional es uno de los temas de diálogo ineludibles que debe abordar el Ministerio de Ambiente y Desarrollo Sostenible (MADS), y se define en el numeral 19.3 de la sentencia de la siguiente forma: </w:t>
      </w:r>
    </w:p>
    <w:p w:rsidR="00B61180" w:rsidP="00B61180" w:rsidRDefault="00B61180" w14:paraId="6B1C030C" w14:textId="77777777">
      <w:pPr>
        <w:ind w:left="708"/>
        <w:jc w:val="both"/>
        <w:rPr>
          <w:rFonts w:ascii="Arial" w:hAnsi="Arial" w:eastAsia="Arial" w:cs="Arial"/>
        </w:rPr>
      </w:pPr>
      <w:r w:rsidRPr="1AB6159B">
        <w:rPr>
          <w:rFonts w:ascii="Arial" w:hAnsi="Arial" w:eastAsia="Arial" w:cs="Arial"/>
        </w:rPr>
        <w:t xml:space="preserve">“En tercer lugar, en coordinación con las autoridades locales y regionales, el MADS deberá crear un sistema de fiscalización de gestión de la resolución. En particular, se discutirá sobre el control de las actividades prohibidas en las zonas de páramo. El modelo planteará los principios deberes, así como responsabilidades de las autoridades, y algunas estrategias para la eliminación de las labores vedadas, por ejemplo, la minería ilegal. En cualquier caso, deberá darse participación a la ciudadanía y a las organizaciones sociales interesadas, en espacios de deliberación a los que sea sensible el diseño y concepción de las medidas que se adopten” </w:t>
      </w:r>
    </w:p>
    <w:p w:rsidR="00B61180" w:rsidP="00B61180" w:rsidRDefault="00B61180" w14:paraId="2CADC54B" w14:textId="77777777">
      <w:pPr>
        <w:jc w:val="both"/>
        <w:rPr>
          <w:rFonts w:ascii="Arial" w:hAnsi="Arial" w:eastAsia="Arial" w:cs="Arial"/>
          <w:sz w:val="24"/>
          <w:szCs w:val="24"/>
        </w:rPr>
      </w:pPr>
      <w:r w:rsidRPr="1AB6159B">
        <w:rPr>
          <w:rFonts w:ascii="Arial" w:hAnsi="Arial" w:eastAsia="Arial" w:cs="Arial"/>
          <w:sz w:val="24"/>
          <w:szCs w:val="24"/>
        </w:rPr>
        <w:t>En ese sentido, el sistema de fiscalización se erige como una instancia de trabajo y articulación entre el Estado colombiano — representado en sus instituciones— y los actores interesados en la gestión del ecosistema de páramo para avanzar en la eliminación de las actividades y labores vedadas en la zona. Este sistema, se plantea bajo un principio participativo que incluya procesos de deliberación y concepción conjunta, en la medida en que reconoce que la participación de las comunidades no debe restringirse solamente a la delimitación participativa del páramo; sino que —adicionalmente— debe ampliarse a espacios posteriores de manejo, cumplimiento de acuerdos y espacios de veeduría. Esto, sin que ello sustituya en ningún momento las competencias de las autoridades llamadas por la Constitución y la ley a ejercer funciones de inspección, vigilancia, control o sanción</w:t>
      </w:r>
    </w:p>
    <w:p w:rsidRPr="001575B0" w:rsidR="00B61180" w:rsidP="00B61180" w:rsidRDefault="00B61180" w14:paraId="2176914F" w14:textId="77777777">
      <w:pPr>
        <w:jc w:val="both"/>
        <w:rPr>
          <w:rFonts w:ascii="Arial" w:hAnsi="Arial" w:cs="Arial"/>
          <w:sz w:val="24"/>
          <w:szCs w:val="24"/>
        </w:rPr>
      </w:pPr>
      <w:r w:rsidRPr="1AB6159B">
        <w:rPr>
          <w:rFonts w:ascii="Arial" w:hAnsi="Arial" w:cs="Arial"/>
          <w:sz w:val="24"/>
          <w:szCs w:val="24"/>
        </w:rPr>
        <w:t>En consecuencia, el presente Sistema de Fiscalización constituye el desarrollo del mandato judicial impartido por la Corte Constitucional y tiene por finalidad establecer un sistema de gestión para la implementación de la resolución, orientado a fortalecer la articulación institucional, la gestión integral de la información, la transparencia, la participación efectiva y el control social, conforme a las competencias asignadas por la Constitución Política y la ley, así como de las actuaciones que, conforme a las competencias legalmente atribuidas, corresponden a las distintas autoridades respecto de las actividades prohibidas en las zonas de páramo.</w:t>
      </w:r>
    </w:p>
    <w:p w:rsidRPr="001575B0" w:rsidR="00B61180" w:rsidP="00B61180" w:rsidRDefault="00B61180" w14:paraId="5CB14CFA" w14:textId="77777777">
      <w:pPr>
        <w:jc w:val="both"/>
      </w:pPr>
      <w:r w:rsidRPr="1AB6159B">
        <w:rPr>
          <w:rFonts w:ascii="Arial" w:hAnsi="Arial" w:cs="Arial"/>
          <w:sz w:val="24"/>
          <w:szCs w:val="24"/>
        </w:rPr>
        <w:t xml:space="preserve">El complejo de páramos jurisdicción Santurbán-Berlín, abarca altitudes que van desde los 2.800 hasta los 4.290 metros sobre el nivel del mar e incluye ecosistemas de 30 municipios en total. Los territorios con mayor superficie dentro del complejo son Silos y Mutiscua en Norte de Santander, y Tona en Santander. La distribución oficial por provincias o subregiones incluye: </w:t>
      </w:r>
    </w:p>
    <w:p w:rsidRPr="001575B0" w:rsidR="00B61180" w:rsidP="00B61180" w:rsidRDefault="00B61180" w14:paraId="18E30563" w14:textId="77777777">
      <w:pPr>
        <w:pStyle w:val="Prrafodelista"/>
        <w:numPr>
          <w:ilvl w:val="0"/>
          <w:numId w:val="31"/>
        </w:numPr>
        <w:jc w:val="both"/>
        <w:rPr>
          <w:rFonts w:ascii="Arial" w:hAnsi="Arial" w:cs="Arial"/>
          <w:sz w:val="24"/>
          <w:szCs w:val="24"/>
        </w:rPr>
      </w:pPr>
      <w:r w:rsidRPr="1AB6159B">
        <w:rPr>
          <w:rFonts w:ascii="Arial" w:hAnsi="Arial" w:cs="Arial"/>
          <w:sz w:val="24"/>
          <w:szCs w:val="24"/>
        </w:rPr>
        <w:t>En Santander (10 municipios): toda la provincia de Soto Norte —conformada por Vetas, California, Suratá, Matanza y Charta —así como Tona, Guaca, Santa Bárbara, Piedecuesta y El Playón</w:t>
      </w:r>
    </w:p>
    <w:p w:rsidR="00B61180" w:rsidP="00B61180" w:rsidRDefault="00B61180" w14:paraId="58527663" w14:textId="77777777">
      <w:pPr>
        <w:numPr>
          <w:ilvl w:val="0"/>
          <w:numId w:val="31"/>
        </w:numPr>
        <w:jc w:val="both"/>
        <w:rPr>
          <w:rFonts w:ascii="Arial" w:hAnsi="Arial" w:cs="Arial"/>
          <w:sz w:val="24"/>
          <w:szCs w:val="24"/>
        </w:rPr>
      </w:pPr>
      <w:r w:rsidRPr="1AB6159B">
        <w:rPr>
          <w:rFonts w:ascii="Arial" w:hAnsi="Arial" w:cs="Arial"/>
          <w:sz w:val="24"/>
          <w:szCs w:val="24"/>
        </w:rPr>
        <w:t xml:space="preserve">En Norte de Santander (20 municipios): destacan localidades clave como Silos, Mutiscua, Pamplona, Pamplonita, Chitagá, Cácota, Cucutilla, Arboledas, Salazar de las Palmas, Cáchira y Villa Caro, junto a otras áreas que aportan cuencas periféricas o de transición (como Ábrego, Bochalema, Bucarasica, Chinácota, Gramalote, La Esperanza, Labateca, Lourdes y Toledo). </w:t>
      </w:r>
    </w:p>
    <w:p w:rsidR="00B61180" w:rsidP="00B61180" w:rsidRDefault="00B61180" w14:paraId="6E94A27B" w14:textId="77777777">
      <w:pPr>
        <w:jc w:val="both"/>
        <w:rPr>
          <w:rFonts w:ascii="Arial" w:hAnsi="Arial" w:cs="Arial"/>
          <w:sz w:val="24"/>
          <w:szCs w:val="24"/>
        </w:rPr>
      </w:pPr>
      <w:r w:rsidRPr="1AB6159B">
        <w:rPr>
          <w:rFonts w:ascii="Arial" w:hAnsi="Arial" w:cs="Arial"/>
          <w:sz w:val="24"/>
          <w:szCs w:val="24"/>
        </w:rPr>
        <w:t xml:space="preserve">En este espacio convergen múltiples autoridades ambientales con documentos concurrentes, comunidades campesinas y mineras artesanales con arraigos históricos y con realidades socioculturales complejas, diversas dinámicas de ocupación, aprovechamiento y uso del territorio, entre otros elementos; que hacen de este un contexto rico y socio-ecológicamente complejo.  </w:t>
      </w:r>
    </w:p>
    <w:p w:rsidR="00B61180" w:rsidP="00B61180" w:rsidRDefault="00B61180" w14:paraId="572A45D0" w14:textId="77777777">
      <w:pPr>
        <w:jc w:val="both"/>
        <w:rPr>
          <w:rFonts w:ascii="Arial" w:hAnsi="Arial" w:cs="Arial"/>
          <w:sz w:val="24"/>
          <w:szCs w:val="24"/>
        </w:rPr>
      </w:pPr>
      <w:r w:rsidRPr="1AB6159B">
        <w:rPr>
          <w:rFonts w:ascii="Arial" w:hAnsi="Arial" w:cs="Arial"/>
          <w:sz w:val="24"/>
          <w:szCs w:val="24"/>
        </w:rPr>
        <w:t xml:space="preserve">Estas particularidades exigen un sistema de fiscalización construido desde las realidades propias del territorio, que reconozca a las comunidades como actores fundamentales en la protección del páramo, fortalezca la coordinación entre las instituciones competentes y garantice mecanismos efectivos de seguimiento, transparencia y rendición de cuentas, dentro del marco constitucional y legal que regula las competencias de cada autoridad. En este sentido, este sistema no constituye una nueva autoridad ambiental, ni crea competencias, funciones de inspección, vigilancia, control o sanción distintas de las previstas en el ordenamiento jurídico. </w:t>
      </w:r>
    </w:p>
    <w:p w:rsidR="00B61180" w:rsidP="00B61180" w:rsidRDefault="00B61180" w14:paraId="0BC52398" w14:textId="77777777">
      <w:pPr>
        <w:jc w:val="both"/>
        <w:rPr>
          <w:rFonts w:ascii="Arial" w:hAnsi="Arial" w:cs="Arial"/>
          <w:sz w:val="24"/>
          <w:szCs w:val="24"/>
        </w:rPr>
      </w:pPr>
      <w:r w:rsidRPr="1AB6159B">
        <w:rPr>
          <w:rFonts w:ascii="Arial" w:hAnsi="Arial" w:cs="Arial"/>
          <w:sz w:val="24"/>
          <w:szCs w:val="24"/>
        </w:rPr>
        <w:t xml:space="preserve">De manera complementaria, su finalidad consiste en articular las competencias previamente atribuidas por la Constitución y la ley a las diferentes entidades públicas, fortalecer los mecanismos de coordinación interinstitucional y articulación con la ciudadanía, y facilitar el ejercicio del control social mediante instrumentos de gestión de la información, trazabilidad y transparencia que permitan hacer visible el estado de implementación de la resolución y de las actuaciones adelantadas por las autoridades competentes. </w:t>
      </w:r>
    </w:p>
    <w:p w:rsidR="00B61180" w:rsidP="5F644D18" w:rsidRDefault="00B61180" w14:paraId="1F5EFB81" w14:textId="0F53A572">
      <w:pPr>
        <w:jc w:val="both"/>
        <w:rPr>
          <w:rFonts w:ascii="Arial" w:hAnsi="Arial" w:cs="Arial"/>
          <w:sz w:val="24"/>
          <w:szCs w:val="24"/>
        </w:rPr>
      </w:pPr>
      <w:r w:rsidRPr="5F644D18" w:rsidR="00B61180">
        <w:rPr>
          <w:rFonts w:ascii="Arial" w:hAnsi="Arial" w:cs="Arial"/>
          <w:sz w:val="24"/>
          <w:szCs w:val="24"/>
        </w:rPr>
        <w:t xml:space="preserve">El contenido del presente sistema tiene como principal fuente el proceso participativo desarrollado durante las fases de consulta, iniciativa y concertación, en las cuales las comunidades, autoridades y demás actores del territorio formularon propuestas, observaciones y acuerdos. </w:t>
      </w:r>
      <w:r w:rsidRPr="5F644D18" w:rsidR="00B61180">
        <w:rPr>
          <w:rFonts w:ascii="Arial" w:hAnsi="Arial" w:cs="Arial"/>
          <w:sz w:val="24"/>
          <w:szCs w:val="24"/>
        </w:rPr>
        <w:t>Todos estos insumos fueron considerados y revisados a la luz del marco constitucional, legal y jurisprudencial vigente para construir el sistema que se presenta a continuación.</w:t>
      </w:r>
    </w:p>
    <w:p w:rsidR="00B61180" w:rsidP="00B61180" w:rsidRDefault="00B61180" w14:paraId="19E3474D" w14:textId="77777777">
      <w:pPr>
        <w:jc w:val="both"/>
        <w:rPr>
          <w:rFonts w:ascii="Arial" w:hAnsi="Arial" w:cs="Arial"/>
          <w:b/>
          <w:bCs/>
          <w:sz w:val="24"/>
          <w:szCs w:val="24"/>
        </w:rPr>
      </w:pPr>
      <w:r w:rsidRPr="1AB6159B">
        <w:rPr>
          <w:rFonts w:ascii="Arial" w:hAnsi="Arial" w:cs="Arial"/>
          <w:b/>
          <w:bCs/>
          <w:sz w:val="24"/>
          <w:szCs w:val="24"/>
        </w:rPr>
        <w:t xml:space="preserve">1.2 Definición y objetivo del sistema de fiscalización </w:t>
      </w:r>
    </w:p>
    <w:p w:rsidR="00B61180" w:rsidP="00B61180" w:rsidRDefault="00B61180" w14:paraId="3F331ABB" w14:textId="77777777">
      <w:pPr>
        <w:jc w:val="both"/>
      </w:pPr>
      <w:r w:rsidRPr="1AB6159B">
        <w:rPr>
          <w:rFonts w:ascii="Arial" w:hAnsi="Arial" w:eastAsia="Arial" w:cs="Arial"/>
          <w:sz w:val="24"/>
          <w:szCs w:val="24"/>
        </w:rPr>
        <w:t>El Sistema de Fiscalización se define como el conjunto de actores, principios, deberes, responsabilidades y mecanismos de acción y coordinación entre los órganos responsables de la fiscalización, que tiene como objetivo de verificar, el cumplimiento de las disposiciones de la resolución de delimitación del complejo de páramos jurisdicción Santurbán-Berlín.</w:t>
      </w:r>
    </w:p>
    <w:p w:rsidR="00B61180" w:rsidP="00B61180" w:rsidRDefault="00B61180" w14:paraId="269555E5" w14:textId="77777777">
      <w:pPr>
        <w:jc w:val="both"/>
      </w:pPr>
      <w:r w:rsidRPr="1AB6159B">
        <w:rPr>
          <w:rFonts w:ascii="Arial" w:hAnsi="Arial" w:eastAsia="Arial" w:cs="Arial"/>
          <w:sz w:val="24"/>
          <w:szCs w:val="24"/>
        </w:rPr>
        <w:t>Para cumplir este objetivo, el sistema de fiscalización del complejo de páramos jurisdicción Santurbán- Berlín establece como pilares fundamentales de acción: la obtención y el acceso de información técnica de soporte, la orientación de las acciones garantizando la participación ciudadana, la creación de capacidades y la gestión del conocimiento para el intercambio efectivo de información y saberes. Todo esto enmarcado en una línea de trabajo incluyente y participativa.</w:t>
      </w:r>
    </w:p>
    <w:p w:rsidR="00B61180" w:rsidP="00B61180" w:rsidRDefault="00B61180" w14:paraId="4A0D037D" w14:textId="77777777">
      <w:pPr>
        <w:spacing w:before="240" w:after="240"/>
        <w:jc w:val="both"/>
      </w:pPr>
      <w:r w:rsidRPr="1AB6159B">
        <w:rPr>
          <w:rFonts w:ascii="Arial" w:hAnsi="Arial" w:eastAsia="Arial" w:cs="Arial"/>
          <w:sz w:val="24"/>
          <w:szCs w:val="24"/>
        </w:rPr>
        <w:t xml:space="preserve">La verificación desarrollada por el Sistema se materializa mediante la consolidación, organización, trazabilidad y evaluación de la información relacionada con la implementación de la resolución de delimitación. Este proceso permite conocer de manera permanente el estado de avance del cumplimiento de los compromisos, acuerdos, actuaciones y medidas adoptadas en desarrollo de los seis ineludibles alcanzados durante el proceso participativo. </w:t>
      </w:r>
    </w:p>
    <w:p w:rsidR="00B61180" w:rsidP="00B61180" w:rsidRDefault="00B61180" w14:paraId="704BAF52" w14:textId="77777777">
      <w:pPr>
        <w:spacing w:before="240" w:after="240"/>
        <w:jc w:val="both"/>
        <w:rPr>
          <w:rFonts w:ascii="Arial" w:hAnsi="Arial" w:eastAsia="Arial" w:cs="Arial"/>
          <w:sz w:val="24"/>
          <w:szCs w:val="24"/>
        </w:rPr>
      </w:pPr>
      <w:r w:rsidRPr="1AB6159B">
        <w:rPr>
          <w:rFonts w:ascii="Arial" w:hAnsi="Arial" w:eastAsia="Arial" w:cs="Arial"/>
          <w:sz w:val="24"/>
          <w:szCs w:val="24"/>
        </w:rPr>
        <w:t>Así mismo, esta función del sistema tiene un carácter de seguimiento y evaluación, por lo que no implica el ejercicio de funciones de inspección, vigilancia, control o potestad sancionatoria, ni sustituye o modifica las competencias atribuidas a las autoridades competentes por la Constitución Política y la ley, sin perjuicio del ejercicio de las funciones que correspondan a dichas autoridades en el ámbito de sus competencias.</w:t>
      </w:r>
    </w:p>
    <w:p w:rsidR="00B61180" w:rsidP="00B61180" w:rsidRDefault="00B61180" w14:paraId="2291BF9F" w14:textId="77777777">
      <w:pPr>
        <w:jc w:val="both"/>
      </w:pPr>
      <w:r w:rsidRPr="1AB6159B">
        <w:rPr>
          <w:rFonts w:ascii="Arial" w:hAnsi="Arial" w:eastAsia="Arial" w:cs="Arial"/>
          <w:sz w:val="24"/>
          <w:szCs w:val="24"/>
        </w:rPr>
        <w:t xml:space="preserve">En ese sentido, este sistema se convierte en un instrumento de articulación interinstitucional permanente, que integra, organiza y hace accesible e identificable la información generada por los actores, favorece la coordinación interinstitucional, el acceso a la información ambiental de carácter público, y el ejercicio de control social alrededor del cumplimiento de los acuerdos y las prohibiciones definidas por la Sentencia T-361 de 2017, la Ley 1930 de 2018 y la resolución de delimitación del complejo de páramos jurisdicción Berlín-Santurbán, sin sustituir las competencias o funciones ya existentes asignadas por ley. </w:t>
      </w:r>
    </w:p>
    <w:p w:rsidR="00B61180" w:rsidP="00B61180" w:rsidRDefault="00B61180" w14:paraId="4C7100B7" w14:textId="77777777">
      <w:pPr>
        <w:jc w:val="both"/>
        <w:rPr>
          <w:rFonts w:ascii="Arial" w:hAnsi="Arial" w:eastAsia="Arial" w:cs="Arial"/>
          <w:b/>
          <w:bCs/>
          <w:sz w:val="24"/>
          <w:szCs w:val="24"/>
        </w:rPr>
      </w:pPr>
      <w:r w:rsidRPr="1AB6159B">
        <w:rPr>
          <w:rFonts w:ascii="Arial" w:hAnsi="Arial" w:eastAsia="Arial" w:cs="Arial"/>
          <w:b/>
          <w:bCs/>
          <w:sz w:val="24"/>
          <w:szCs w:val="24"/>
        </w:rPr>
        <w:t xml:space="preserve">1.3 Deberes del sistema de fiscalización </w:t>
      </w:r>
    </w:p>
    <w:p w:rsidR="00B61180" w:rsidP="00B61180" w:rsidRDefault="00B61180" w14:paraId="26355109" w14:textId="77777777">
      <w:pPr>
        <w:jc w:val="both"/>
      </w:pPr>
      <w:r w:rsidRPr="1AB6159B">
        <w:rPr>
          <w:rFonts w:ascii="Arial" w:hAnsi="Arial" w:eastAsia="Arial" w:cs="Arial"/>
          <w:sz w:val="24"/>
          <w:szCs w:val="24"/>
        </w:rPr>
        <w:t xml:space="preserve">El sistema de fiscalización del complejo de páramos Santurbán-Berlín se implementa en cumplimiento de la sentencia T-361 de 2017, pero también en búsqueda de generar un mecanismo de carácter permanente que permita, desde la articulación </w:t>
      </w:r>
      <w:r w:rsidRPr="1AB6159B">
        <w:rPr>
          <w:rFonts w:ascii="Arial" w:hAnsi="Arial" w:eastAsia="Arial" w:cs="Arial"/>
          <w:sz w:val="24"/>
          <w:szCs w:val="24"/>
        </w:rPr>
        <w:t xml:space="preserve">de actores, la verificación de los acuerdos y prohibiciones acordadas en la resolución de delimitación participativa del páramo. </w:t>
      </w:r>
    </w:p>
    <w:p w:rsidR="00B61180" w:rsidP="00B61180" w:rsidRDefault="00B61180" w14:paraId="667296F7" w14:textId="77777777">
      <w:pPr>
        <w:jc w:val="both"/>
        <w:rPr>
          <w:rFonts w:ascii="Arial" w:hAnsi="Arial" w:eastAsia="Arial" w:cs="Arial"/>
          <w:sz w:val="24"/>
          <w:szCs w:val="24"/>
        </w:rPr>
      </w:pPr>
      <w:r w:rsidRPr="1AB6159B">
        <w:rPr>
          <w:rFonts w:ascii="Arial" w:hAnsi="Arial" w:eastAsia="Arial" w:cs="Arial"/>
          <w:sz w:val="24"/>
          <w:szCs w:val="24"/>
        </w:rPr>
        <w:t>Para el cumplimiento de este propósito, el Sistema parte de cuatro deberes fundamentales —definidos con base en las intervenciones, juicios, opiniones y sugerencias recolectadas durante la fase de consulta e iniciativa, y la fase de concertación— son los siguientes:</w:t>
      </w:r>
    </w:p>
    <w:p w:rsidR="00B61180" w:rsidP="00B61180" w:rsidRDefault="00B61180" w14:paraId="5516739F" w14:textId="77777777">
      <w:pPr>
        <w:ind w:left="708"/>
        <w:jc w:val="both"/>
      </w:pPr>
      <w:r w:rsidRPr="1AB6159B">
        <w:rPr>
          <w:rFonts w:ascii="Arial" w:hAnsi="Arial" w:eastAsia="Arial" w:cs="Arial"/>
          <w:b/>
          <w:bCs/>
          <w:sz w:val="24"/>
          <w:szCs w:val="24"/>
        </w:rPr>
        <w:t>1. Evaluación:</w:t>
      </w:r>
      <w:r w:rsidRPr="1AB6159B">
        <w:rPr>
          <w:rFonts w:ascii="Arial" w:hAnsi="Arial" w:eastAsia="Arial" w:cs="Arial"/>
          <w:sz w:val="24"/>
          <w:szCs w:val="24"/>
        </w:rPr>
        <w:t xml:space="preserve"> comprende las acciones de vigilancia, monitoreo y otras similares para asegurar la gestión y cumplimiento de las disposiciones establecidas en la Resolución de Delimitación del Páramo de Jurisdicciones-Santurbán-Berlín.</w:t>
      </w:r>
    </w:p>
    <w:p w:rsidR="00B61180" w:rsidP="00B61180" w:rsidRDefault="00B61180" w14:paraId="595E7832" w14:textId="77777777">
      <w:pPr>
        <w:ind w:left="708"/>
        <w:jc w:val="both"/>
      </w:pPr>
      <w:r w:rsidRPr="1AB6159B">
        <w:rPr>
          <w:rFonts w:ascii="Arial" w:hAnsi="Arial" w:eastAsia="Arial" w:cs="Arial"/>
          <w:b/>
          <w:bCs/>
          <w:sz w:val="24"/>
          <w:szCs w:val="24"/>
        </w:rPr>
        <w:t>2. Supervisión directa:</w:t>
      </w:r>
      <w:r w:rsidRPr="1AB6159B">
        <w:rPr>
          <w:rFonts w:ascii="Arial" w:hAnsi="Arial" w:eastAsia="Arial" w:cs="Arial"/>
          <w:sz w:val="24"/>
          <w:szCs w:val="24"/>
        </w:rPr>
        <w:t xml:space="preserve"> comprende la facultad de realizar acciones de seguimiento y verificación, así como de imponer medidas administrativas, con el propósito de asegurar el cumplimiento de las obligaciones de los sujetos fiscalizables bajo la jurisdicción y competencia establecida en el marco legal vigente. </w:t>
      </w:r>
    </w:p>
    <w:p w:rsidR="00B61180" w:rsidP="00B61180" w:rsidRDefault="00B61180" w14:paraId="1836036A" w14:textId="77777777">
      <w:pPr>
        <w:ind w:left="708"/>
        <w:jc w:val="both"/>
      </w:pPr>
      <w:r w:rsidRPr="1AB6159B">
        <w:rPr>
          <w:rFonts w:ascii="Arial" w:hAnsi="Arial" w:eastAsia="Arial" w:cs="Arial"/>
          <w:b/>
          <w:bCs/>
          <w:sz w:val="24"/>
          <w:szCs w:val="24"/>
        </w:rPr>
        <w:t>3. Ejercicio del control social:</w:t>
      </w:r>
      <w:r w:rsidRPr="1AB6159B">
        <w:rPr>
          <w:rFonts w:ascii="Arial" w:hAnsi="Arial" w:eastAsia="Arial" w:cs="Arial"/>
          <w:sz w:val="24"/>
          <w:szCs w:val="24"/>
        </w:rPr>
        <w:t xml:space="preserve"> facultad ciudadana de constituir mecanismos de control social, dentro del marco legal correspondiente, para apoyar la Fiscalización de la Gestión de la Resolución de delimitación del Páramo. </w:t>
      </w:r>
    </w:p>
    <w:p w:rsidR="00B61180" w:rsidP="00B61180" w:rsidRDefault="00B61180" w14:paraId="6B2DA68A" w14:textId="77777777">
      <w:pPr>
        <w:ind w:left="708"/>
        <w:jc w:val="both"/>
      </w:pPr>
      <w:r w:rsidRPr="1AB6159B">
        <w:rPr>
          <w:rFonts w:ascii="Arial" w:hAnsi="Arial" w:eastAsia="Arial" w:cs="Arial"/>
          <w:b/>
          <w:bCs/>
          <w:sz w:val="24"/>
          <w:szCs w:val="24"/>
        </w:rPr>
        <w:t>4. Fiscalización y sanción:</w:t>
      </w:r>
      <w:r w:rsidRPr="1AB6159B">
        <w:rPr>
          <w:rFonts w:ascii="Arial" w:hAnsi="Arial" w:eastAsia="Arial" w:cs="Arial"/>
          <w:sz w:val="24"/>
          <w:szCs w:val="24"/>
        </w:rPr>
        <w:t xml:space="preserve"> comprende la facultad de investigar la comisión de posibles infracciones administrativas e imponer sanciones por el incumplimiento de obligaciones y compromisos derivados de las disposiciones de la Resolución de Delimitación.</w:t>
      </w:r>
    </w:p>
    <w:p w:rsidR="00B61180" w:rsidP="00B61180" w:rsidRDefault="00B61180" w14:paraId="515ADC57" w14:textId="77777777">
      <w:pPr>
        <w:jc w:val="both"/>
        <w:rPr>
          <w:rFonts w:ascii="Arial" w:hAnsi="Arial" w:eastAsia="Arial" w:cs="Arial"/>
          <w:b/>
          <w:bCs/>
          <w:sz w:val="24"/>
          <w:szCs w:val="24"/>
        </w:rPr>
      </w:pPr>
      <w:r w:rsidRPr="1AB6159B">
        <w:rPr>
          <w:rFonts w:ascii="Arial" w:hAnsi="Arial" w:eastAsia="Arial" w:cs="Arial"/>
          <w:b/>
          <w:bCs/>
          <w:sz w:val="24"/>
          <w:szCs w:val="24"/>
        </w:rPr>
        <w:t xml:space="preserve">1.4 Principios orientadores del sistema </w:t>
      </w:r>
    </w:p>
    <w:p w:rsidR="00B61180" w:rsidP="00B61180" w:rsidRDefault="00B61180" w14:paraId="25C3D823" w14:textId="77777777">
      <w:pPr>
        <w:jc w:val="both"/>
      </w:pPr>
      <w:r w:rsidRPr="1AB6159B">
        <w:rPr>
          <w:rFonts w:ascii="Arial" w:hAnsi="Arial" w:eastAsia="Arial" w:cs="Arial"/>
          <w:sz w:val="24"/>
          <w:szCs w:val="24"/>
        </w:rPr>
        <w:t xml:space="preserve">En relación con los principios, estos se entienden como los postulados o criterios fundamentales que orientan su diseño, interpretación, funcionamiento y aplicación. Con base en las intervenciones, juicios, opiniones y sugerencias recolectadas durante la fase de consulta e iniciativa, y la fase de concertación, estos son los siguientes: </w:t>
      </w:r>
    </w:p>
    <w:p w:rsidR="00B61180" w:rsidP="00B61180" w:rsidRDefault="00B61180" w14:paraId="65478B15" w14:textId="77777777">
      <w:pPr>
        <w:pStyle w:val="Prrafodelista"/>
        <w:numPr>
          <w:ilvl w:val="0"/>
          <w:numId w:val="28"/>
        </w:numPr>
        <w:jc w:val="both"/>
        <w:rPr>
          <w:rFonts w:ascii="Arial" w:hAnsi="Arial" w:eastAsia="Arial" w:cs="Arial"/>
          <w:sz w:val="24"/>
          <w:szCs w:val="24"/>
        </w:rPr>
      </w:pPr>
      <w:r w:rsidRPr="1AB6159B">
        <w:rPr>
          <w:rFonts w:ascii="Arial" w:hAnsi="Arial" w:eastAsia="Arial" w:cs="Arial"/>
          <w:b/>
          <w:bCs/>
          <w:sz w:val="24"/>
          <w:szCs w:val="24"/>
        </w:rPr>
        <w:t>Principio de concurrencia:</w:t>
      </w:r>
      <w:r w:rsidRPr="1AB6159B">
        <w:rPr>
          <w:rFonts w:ascii="Arial" w:hAnsi="Arial" w:eastAsia="Arial" w:cs="Arial"/>
          <w:sz w:val="24"/>
          <w:szCs w:val="24"/>
        </w:rPr>
        <w:t xml:space="preserve"> las entidades nacionales y territoriales de los ámbitos público y privado de los diferentes niveles jerárquicos, deberán unir esfuerzos y contribuir desde el ámbito de sus competencias en el desarrollo y aplicación del sistema de fiscalización de gestión de la resolución, permitiendo la participación comunitaria, de quienes muestren un interés común, en el cumplimiento del objetivo trazado. </w:t>
      </w:r>
    </w:p>
    <w:p w:rsidR="00B61180" w:rsidP="00B61180" w:rsidRDefault="00B61180" w14:paraId="04AF92B4" w14:textId="77777777">
      <w:pPr>
        <w:pStyle w:val="Prrafodelista"/>
        <w:numPr>
          <w:ilvl w:val="0"/>
          <w:numId w:val="28"/>
        </w:numPr>
        <w:jc w:val="both"/>
        <w:rPr>
          <w:rFonts w:ascii="Arial" w:hAnsi="Arial" w:eastAsia="Arial" w:cs="Arial"/>
          <w:sz w:val="24"/>
          <w:szCs w:val="24"/>
        </w:rPr>
      </w:pPr>
      <w:r w:rsidRPr="1AB6159B">
        <w:rPr>
          <w:rFonts w:ascii="Arial" w:hAnsi="Arial" w:eastAsia="Arial" w:cs="Arial"/>
          <w:b/>
          <w:bCs/>
          <w:sz w:val="24"/>
          <w:szCs w:val="24"/>
        </w:rPr>
        <w:t>Principio de Integración:</w:t>
      </w:r>
      <w:r w:rsidRPr="1AB6159B">
        <w:rPr>
          <w:rFonts w:ascii="Arial" w:hAnsi="Arial" w:eastAsia="Arial" w:cs="Arial"/>
          <w:sz w:val="24"/>
          <w:szCs w:val="24"/>
        </w:rPr>
        <w:t xml:space="preserve"> la integración de la voluntad de los actores, responsabilidades y deberes de quienes conforman el sistema de fiscalización de gestión de la resolución, para el cumplimiento del objetivo de este. </w:t>
      </w:r>
    </w:p>
    <w:p w:rsidR="00B61180" w:rsidP="00B61180" w:rsidRDefault="00B61180" w14:paraId="5E9BB059" w14:textId="77777777">
      <w:pPr>
        <w:pStyle w:val="Prrafodelista"/>
        <w:numPr>
          <w:ilvl w:val="0"/>
          <w:numId w:val="28"/>
        </w:numPr>
        <w:jc w:val="both"/>
        <w:rPr>
          <w:rFonts w:ascii="Arial" w:hAnsi="Arial" w:eastAsia="Arial" w:cs="Arial"/>
          <w:sz w:val="24"/>
          <w:szCs w:val="24"/>
        </w:rPr>
      </w:pPr>
      <w:r w:rsidRPr="1AB6159B">
        <w:rPr>
          <w:rFonts w:ascii="Arial" w:hAnsi="Arial" w:eastAsia="Arial" w:cs="Arial"/>
          <w:b/>
          <w:bCs/>
          <w:sz w:val="24"/>
          <w:szCs w:val="24"/>
        </w:rPr>
        <w:t xml:space="preserve">Principio Democrático y de Participación Ciudadana: </w:t>
      </w:r>
      <w:r w:rsidRPr="1AB6159B">
        <w:rPr>
          <w:rFonts w:ascii="Arial" w:hAnsi="Arial" w:eastAsia="Arial" w:cs="Arial"/>
          <w:sz w:val="24"/>
          <w:szCs w:val="24"/>
        </w:rPr>
        <w:t xml:space="preserve">Se deben garantizar espacios de diálogo con las comunidades que deseen participar activamente, de manera que se respeten sus opiniones y sean tenidas en cuenta para el fortalecimiento de la fiscalización, siempre que estas aporten a las decisiones que comprometan el desarrollo y ejecución de las actividades del sistema de fiscalización de gestión de la resolución. </w:t>
      </w:r>
    </w:p>
    <w:p w:rsidR="00B61180" w:rsidP="00B61180" w:rsidRDefault="00B61180" w14:paraId="15C91F93" w14:textId="77777777">
      <w:pPr>
        <w:pStyle w:val="Prrafodelista"/>
        <w:numPr>
          <w:ilvl w:val="0"/>
          <w:numId w:val="28"/>
        </w:numPr>
        <w:jc w:val="both"/>
        <w:rPr>
          <w:rFonts w:ascii="Arial" w:hAnsi="Arial" w:eastAsia="Arial" w:cs="Arial"/>
          <w:sz w:val="24"/>
          <w:szCs w:val="24"/>
        </w:rPr>
      </w:pPr>
      <w:r w:rsidRPr="1AB6159B">
        <w:rPr>
          <w:rFonts w:ascii="Arial" w:hAnsi="Arial" w:eastAsia="Arial" w:cs="Arial"/>
          <w:b/>
          <w:bCs/>
          <w:sz w:val="24"/>
          <w:szCs w:val="24"/>
        </w:rPr>
        <w:t>Principio de Solidaridad:</w:t>
      </w:r>
      <w:r w:rsidRPr="1AB6159B">
        <w:rPr>
          <w:rFonts w:ascii="Arial" w:hAnsi="Arial" w:eastAsia="Arial" w:cs="Arial"/>
          <w:sz w:val="24"/>
          <w:szCs w:val="24"/>
        </w:rPr>
        <w:t xml:space="preserve"> el sistema de fiscalización de gestión de la resolución permite y facilita la participación activa de los actores que lo conforman, de manera que se puedan satisfacer las necesidades individuales y colectivas para el cumplimiento del objetivo común</w:t>
      </w:r>
    </w:p>
    <w:p w:rsidR="00B61180" w:rsidP="00B61180" w:rsidRDefault="00B61180" w14:paraId="5FCD0AB0" w14:textId="77777777">
      <w:pPr>
        <w:pStyle w:val="Prrafodelista"/>
        <w:numPr>
          <w:ilvl w:val="0"/>
          <w:numId w:val="28"/>
        </w:numPr>
        <w:jc w:val="both"/>
        <w:rPr>
          <w:rFonts w:ascii="Arial" w:hAnsi="Arial" w:eastAsia="Arial" w:cs="Arial"/>
          <w:sz w:val="24"/>
          <w:szCs w:val="24"/>
        </w:rPr>
      </w:pPr>
      <w:r w:rsidRPr="1AB6159B">
        <w:rPr>
          <w:rFonts w:ascii="Arial" w:hAnsi="Arial" w:eastAsia="Arial" w:cs="Arial"/>
          <w:b/>
          <w:bCs/>
          <w:sz w:val="24"/>
          <w:szCs w:val="24"/>
        </w:rPr>
        <w:t xml:space="preserve">Principio de Equidad: </w:t>
      </w:r>
      <w:r w:rsidRPr="1AB6159B">
        <w:rPr>
          <w:rFonts w:ascii="Arial" w:hAnsi="Arial" w:eastAsia="Arial" w:cs="Arial"/>
          <w:sz w:val="24"/>
          <w:szCs w:val="24"/>
        </w:rPr>
        <w:t xml:space="preserve">la implementación y aplicación del Sistema de fiscalización de gestión de la resolución responde a la distribución de responsabilidades para el buen funcionamiento del Sistema y el cumplimiento de las disposiciones de la Resolución de delimitación del Páramo. </w:t>
      </w:r>
    </w:p>
    <w:p w:rsidR="00B61180" w:rsidP="00B61180" w:rsidRDefault="00B61180" w14:paraId="581FFC4B" w14:textId="77777777">
      <w:pPr>
        <w:pStyle w:val="Prrafodelista"/>
        <w:numPr>
          <w:ilvl w:val="0"/>
          <w:numId w:val="28"/>
        </w:numPr>
        <w:jc w:val="both"/>
        <w:rPr>
          <w:rFonts w:ascii="Arial" w:hAnsi="Arial" w:eastAsia="Arial" w:cs="Arial"/>
          <w:sz w:val="24"/>
          <w:szCs w:val="24"/>
        </w:rPr>
      </w:pPr>
      <w:r w:rsidRPr="1AB6159B">
        <w:rPr>
          <w:rFonts w:ascii="Arial" w:hAnsi="Arial" w:eastAsia="Arial" w:cs="Arial"/>
          <w:b/>
          <w:bCs/>
          <w:sz w:val="24"/>
          <w:szCs w:val="24"/>
        </w:rPr>
        <w:t>Principio de Gradualidad y Flexibilidad:</w:t>
      </w:r>
      <w:r w:rsidRPr="1AB6159B">
        <w:rPr>
          <w:rFonts w:ascii="Arial" w:hAnsi="Arial" w:eastAsia="Arial" w:cs="Arial"/>
          <w:sz w:val="24"/>
          <w:szCs w:val="24"/>
        </w:rPr>
        <w:t xml:space="preserve"> el sistema de fiscalización de gestión de la resolución facilitará el establecimiento de acciones progresivas y flexibles de acuerdo con las competencias de sus actores y los recursos que se le asignen para el cumplimiento de las obligaciones derivadas de la Resolución de delimitación del Páramo Santurbán – Berlín. </w:t>
      </w:r>
    </w:p>
    <w:p w:rsidR="00B61180" w:rsidP="00B61180" w:rsidRDefault="00B61180" w14:paraId="5E1EBAD6" w14:textId="77777777">
      <w:pPr>
        <w:pStyle w:val="Prrafodelista"/>
        <w:numPr>
          <w:ilvl w:val="0"/>
          <w:numId w:val="28"/>
        </w:numPr>
        <w:jc w:val="both"/>
        <w:rPr>
          <w:rFonts w:ascii="Arial" w:hAnsi="Arial" w:eastAsia="Arial" w:cs="Arial"/>
          <w:sz w:val="24"/>
          <w:szCs w:val="24"/>
        </w:rPr>
      </w:pPr>
      <w:r w:rsidRPr="1AB6159B">
        <w:rPr>
          <w:rFonts w:ascii="Arial" w:hAnsi="Arial" w:eastAsia="Arial" w:cs="Arial"/>
          <w:b/>
          <w:bCs/>
          <w:sz w:val="24"/>
          <w:szCs w:val="24"/>
        </w:rPr>
        <w:t>Principio de Responsabilidad</w:t>
      </w:r>
      <w:r w:rsidRPr="1AB6159B">
        <w:rPr>
          <w:rFonts w:ascii="Arial" w:hAnsi="Arial" w:eastAsia="Arial" w:cs="Arial"/>
          <w:sz w:val="24"/>
          <w:szCs w:val="24"/>
        </w:rPr>
        <w:t xml:space="preserve">: todos los actores integrantes del Sistema de Fiscalización son responsables del buen funcionamiento y sostenibilidad del mismo, según sus competencias y el cumplimiento de fiscalización de las disposiciones establecidas en la Resolución de delimitación del Páramo Santurbán –Berlín. </w:t>
      </w:r>
    </w:p>
    <w:p w:rsidR="00B61180" w:rsidP="00B61180" w:rsidRDefault="00B61180" w14:paraId="5BF28BAB" w14:textId="77777777">
      <w:pPr>
        <w:pStyle w:val="Prrafodelista"/>
        <w:numPr>
          <w:ilvl w:val="0"/>
          <w:numId w:val="28"/>
        </w:numPr>
        <w:jc w:val="both"/>
        <w:rPr>
          <w:rFonts w:ascii="Arial" w:hAnsi="Arial" w:eastAsia="Arial" w:cs="Arial"/>
          <w:sz w:val="24"/>
          <w:szCs w:val="24"/>
        </w:rPr>
      </w:pPr>
      <w:r w:rsidRPr="1AB6159B">
        <w:rPr>
          <w:rFonts w:ascii="Arial" w:hAnsi="Arial" w:eastAsia="Arial" w:cs="Arial"/>
          <w:b/>
          <w:bCs/>
          <w:sz w:val="24"/>
          <w:szCs w:val="24"/>
        </w:rPr>
        <w:t>Principio de Corresponsabilidad</w:t>
      </w:r>
      <w:r w:rsidRPr="1AB6159B">
        <w:rPr>
          <w:rFonts w:ascii="Arial" w:hAnsi="Arial" w:eastAsia="Arial" w:cs="Arial"/>
          <w:sz w:val="24"/>
          <w:szCs w:val="24"/>
        </w:rPr>
        <w:t xml:space="preserve">: se entiende como la responsabilidad compartida entre los actores que integran el sistema de fiscalización, entendiendo que la corresponsabilidad tiene un objetivo único para el buen funcionamiento y sostenibilidad de este dada las obligaciones y compromisos comunes con el sistema. </w:t>
      </w:r>
    </w:p>
    <w:p w:rsidR="00B61180" w:rsidP="00B61180" w:rsidRDefault="00B61180" w14:paraId="02E4F67E" w14:textId="77777777">
      <w:pPr>
        <w:pStyle w:val="Prrafodelista"/>
        <w:numPr>
          <w:ilvl w:val="0"/>
          <w:numId w:val="28"/>
        </w:numPr>
        <w:jc w:val="both"/>
        <w:rPr>
          <w:rFonts w:ascii="Arial" w:hAnsi="Arial" w:eastAsia="Arial" w:cs="Arial"/>
          <w:sz w:val="24"/>
          <w:szCs w:val="24"/>
        </w:rPr>
      </w:pPr>
      <w:r w:rsidRPr="1AB6159B">
        <w:rPr>
          <w:rFonts w:ascii="Arial" w:hAnsi="Arial" w:eastAsia="Arial" w:cs="Arial"/>
          <w:b/>
          <w:bCs/>
          <w:sz w:val="24"/>
          <w:szCs w:val="24"/>
        </w:rPr>
        <w:t>Principio de Transparencia:</w:t>
      </w:r>
      <w:r w:rsidRPr="1AB6159B">
        <w:rPr>
          <w:rFonts w:ascii="Arial" w:hAnsi="Arial" w:eastAsia="Arial" w:cs="Arial"/>
          <w:sz w:val="24"/>
          <w:szCs w:val="24"/>
        </w:rPr>
        <w:t xml:space="preserve"> el sistema de fiscalización de gestión de la resolución fomenta la democratización de la información de fiscalización que se consolida como un puente de información entre los integrantes del Sistema y la sociedad en general, facilitando el control democrático y social del mismo.</w:t>
      </w:r>
    </w:p>
    <w:p w:rsidR="00B61180" w:rsidP="00B61180" w:rsidRDefault="00B61180" w14:paraId="24D0EB4F" w14:textId="77777777">
      <w:pPr>
        <w:pStyle w:val="Prrafodelista"/>
        <w:numPr>
          <w:ilvl w:val="0"/>
          <w:numId w:val="28"/>
        </w:numPr>
        <w:jc w:val="both"/>
        <w:rPr>
          <w:rFonts w:ascii="Arial" w:hAnsi="Arial" w:eastAsia="Arial" w:cs="Arial"/>
          <w:sz w:val="24"/>
          <w:szCs w:val="24"/>
        </w:rPr>
      </w:pPr>
      <w:r w:rsidRPr="1AB6159B">
        <w:rPr>
          <w:rFonts w:ascii="Arial" w:hAnsi="Arial" w:eastAsia="Arial" w:cs="Arial"/>
          <w:b/>
          <w:bCs/>
          <w:sz w:val="24"/>
          <w:szCs w:val="24"/>
        </w:rPr>
        <w:t>Principio de Economía y Buen Gobierno:</w:t>
      </w:r>
      <w:r w:rsidRPr="1AB6159B">
        <w:rPr>
          <w:rFonts w:ascii="Arial" w:hAnsi="Arial" w:eastAsia="Arial" w:cs="Arial"/>
          <w:sz w:val="24"/>
          <w:szCs w:val="24"/>
        </w:rPr>
        <w:t xml:space="preserve"> el sistema permite la racionalización de recursos entre todos los actores del sistema de fiscalización, con el fin de trabajar bajo una misma visión, acciones concretas, </w:t>
      </w:r>
      <w:r w:rsidRPr="1AB6159B">
        <w:rPr>
          <w:rFonts w:ascii="Arial" w:hAnsi="Arial" w:eastAsia="Arial" w:cs="Arial"/>
          <w:sz w:val="24"/>
          <w:szCs w:val="24"/>
        </w:rPr>
        <w:t xml:space="preserve">similares estándares, valores éticos y capacidades técnicas, y así garantizar una fiscalización eficiente y eficaz. </w:t>
      </w:r>
    </w:p>
    <w:p w:rsidR="00B61180" w:rsidP="00B61180" w:rsidRDefault="00B61180" w14:paraId="7DDFFDA1" w14:textId="77777777">
      <w:pPr>
        <w:pStyle w:val="Prrafodelista"/>
        <w:numPr>
          <w:ilvl w:val="0"/>
          <w:numId w:val="28"/>
        </w:numPr>
        <w:jc w:val="both"/>
        <w:rPr>
          <w:rFonts w:ascii="Arial" w:hAnsi="Arial" w:eastAsia="Arial" w:cs="Arial"/>
          <w:sz w:val="24"/>
          <w:szCs w:val="24"/>
        </w:rPr>
      </w:pPr>
      <w:r w:rsidRPr="1AB6159B">
        <w:rPr>
          <w:rFonts w:ascii="Arial" w:hAnsi="Arial" w:eastAsia="Arial" w:cs="Arial"/>
          <w:b/>
          <w:bCs/>
          <w:sz w:val="24"/>
          <w:szCs w:val="24"/>
        </w:rPr>
        <w:t>Principio de Continuidad:</w:t>
      </w:r>
      <w:r w:rsidRPr="1AB6159B">
        <w:rPr>
          <w:rFonts w:ascii="Arial" w:hAnsi="Arial" w:eastAsia="Arial" w:cs="Arial"/>
          <w:sz w:val="24"/>
          <w:szCs w:val="24"/>
        </w:rPr>
        <w:t xml:space="preserve"> el sistema de fiscalización de gestión de la resolución comprende medidas de control y seguimiento que garantizan la continuidad y buen funcionamiento del seguimiento de las disposiciones de la Resolución de Delimitación del Páramo Santurbán –Berlín. </w:t>
      </w:r>
    </w:p>
    <w:p w:rsidR="00B61180" w:rsidP="00B61180" w:rsidRDefault="00B61180" w14:paraId="151208B8" w14:textId="77777777">
      <w:pPr>
        <w:pStyle w:val="Prrafodelista"/>
        <w:numPr>
          <w:ilvl w:val="0"/>
          <w:numId w:val="28"/>
        </w:numPr>
        <w:jc w:val="both"/>
        <w:rPr>
          <w:rFonts w:ascii="Arial" w:hAnsi="Arial" w:eastAsia="Arial" w:cs="Arial"/>
          <w:sz w:val="24"/>
          <w:szCs w:val="24"/>
        </w:rPr>
      </w:pPr>
      <w:r w:rsidRPr="1AB6159B">
        <w:rPr>
          <w:rFonts w:ascii="Arial" w:hAnsi="Arial" w:eastAsia="Arial" w:cs="Arial"/>
          <w:b/>
          <w:bCs/>
          <w:sz w:val="24"/>
          <w:szCs w:val="24"/>
        </w:rPr>
        <w:t>Principio de Veracidad:</w:t>
      </w:r>
      <w:r w:rsidRPr="1AB6159B">
        <w:rPr>
          <w:rFonts w:ascii="Arial" w:hAnsi="Arial" w:eastAsia="Arial" w:cs="Arial"/>
          <w:sz w:val="24"/>
          <w:szCs w:val="24"/>
        </w:rPr>
        <w:t xml:space="preserve"> el sistema de fiscalización de gestión de la resolución comprende la utilización de mecanismos que aseguren opiniones, juicios, inspecciones, verificaciones que guardan una estrecha relación con la verdad y lo verdadero, en este sentido, es posible considerar a la veracidad como la condición que debe revestir cualquier acción de fiscalización para el cumplimiento del seguimiento a las disposiciones de la Resolución de delimitación del Páramo Santurbán –Berlín. </w:t>
      </w:r>
    </w:p>
    <w:p w:rsidR="00B61180" w:rsidP="00B61180" w:rsidRDefault="00B61180" w14:paraId="6FE53ECD" w14:textId="77777777">
      <w:pPr>
        <w:pStyle w:val="Prrafodelista"/>
        <w:numPr>
          <w:ilvl w:val="0"/>
          <w:numId w:val="28"/>
        </w:numPr>
        <w:jc w:val="both"/>
        <w:rPr>
          <w:rFonts w:ascii="Arial" w:hAnsi="Arial" w:eastAsia="Arial" w:cs="Arial"/>
          <w:sz w:val="24"/>
          <w:szCs w:val="24"/>
        </w:rPr>
      </w:pPr>
      <w:r w:rsidRPr="1AB6159B">
        <w:rPr>
          <w:rFonts w:ascii="Arial" w:hAnsi="Arial" w:eastAsia="Arial" w:cs="Arial"/>
          <w:b/>
          <w:bCs/>
          <w:sz w:val="24"/>
          <w:szCs w:val="24"/>
        </w:rPr>
        <w:t>Principio de articulación y coordinación</w:t>
      </w:r>
      <w:r w:rsidRPr="1AB6159B">
        <w:rPr>
          <w:rFonts w:ascii="Arial" w:hAnsi="Arial" w:eastAsia="Arial" w:cs="Arial"/>
          <w:sz w:val="24"/>
          <w:szCs w:val="24"/>
        </w:rPr>
        <w:t xml:space="preserve">: el sistema de fiscalización de gestión de la resolución está conformado por actores de diferente orden, que deben actuar en un ambiente de articulación y coordinación efectiva, con el fin de trabajar bajo un mismo objetivo, con similares estándares, principios y capacidades técnicas, garantizando una adecuada acción de fiscalización. </w:t>
      </w:r>
    </w:p>
    <w:p w:rsidR="00B61180" w:rsidP="00B61180" w:rsidRDefault="00B61180" w14:paraId="48A73502" w14:textId="77777777">
      <w:pPr>
        <w:pStyle w:val="Prrafodelista"/>
        <w:numPr>
          <w:ilvl w:val="0"/>
          <w:numId w:val="28"/>
        </w:numPr>
        <w:jc w:val="both"/>
        <w:rPr>
          <w:rFonts w:ascii="Arial" w:hAnsi="Arial" w:eastAsia="Arial" w:cs="Arial"/>
          <w:sz w:val="24"/>
          <w:szCs w:val="24"/>
        </w:rPr>
      </w:pPr>
      <w:r w:rsidRPr="1AB6159B">
        <w:rPr>
          <w:rFonts w:ascii="Arial" w:hAnsi="Arial" w:eastAsia="Arial" w:cs="Arial"/>
          <w:b/>
          <w:bCs/>
          <w:sz w:val="24"/>
          <w:szCs w:val="24"/>
        </w:rPr>
        <w:t>Principio de igualdad, equidad y enfoque territorial diferencial:</w:t>
      </w:r>
      <w:r w:rsidRPr="1AB6159B">
        <w:rPr>
          <w:rFonts w:ascii="Arial" w:hAnsi="Arial" w:eastAsia="Arial" w:cs="Arial"/>
          <w:sz w:val="24"/>
          <w:szCs w:val="24"/>
        </w:rPr>
        <w:t xml:space="preserve"> los mecanismos de reporte, divulgación y seguimiento del Sistema se aplicarán con trato equitativo y enfoque diferencial, reconociendo contextos campesinos, veredales y urbano</w:t>
      </w:r>
      <w:r>
        <w:noBreakHyphen/>
      </w:r>
      <w:r w:rsidRPr="1AB6159B">
        <w:rPr>
          <w:rFonts w:ascii="Arial" w:hAnsi="Arial" w:eastAsia="Arial" w:cs="Arial"/>
          <w:sz w:val="24"/>
          <w:szCs w:val="24"/>
        </w:rPr>
        <w:t>paramunos, para asegurar acceso real a información y participación sin discriminación.</w:t>
      </w:r>
    </w:p>
    <w:p w:rsidR="00B61180" w:rsidP="00B61180" w:rsidRDefault="00B61180" w14:paraId="51A9755A" w14:textId="77777777">
      <w:pPr>
        <w:pStyle w:val="Prrafodelista"/>
        <w:numPr>
          <w:ilvl w:val="0"/>
          <w:numId w:val="28"/>
        </w:numPr>
        <w:jc w:val="both"/>
      </w:pPr>
      <w:r w:rsidRPr="1AB6159B">
        <w:rPr>
          <w:rFonts w:ascii="Arial" w:hAnsi="Arial" w:eastAsia="Arial" w:cs="Arial"/>
          <w:b/>
          <w:bCs/>
          <w:sz w:val="24"/>
          <w:szCs w:val="24"/>
        </w:rPr>
        <w:t>Integridad e imparcialidad en el manejo de información:</w:t>
      </w:r>
      <w:r w:rsidRPr="1AB6159B">
        <w:rPr>
          <w:rFonts w:ascii="Arial" w:hAnsi="Arial" w:eastAsia="Arial" w:cs="Arial"/>
          <w:sz w:val="24"/>
          <w:szCs w:val="24"/>
        </w:rPr>
        <w:t xml:space="preserve"> el sistema operará con criterios de objetividad y manejo ético de información, evitando influencias indebidas o tratamientos preferenciales; los reportes y su trazabilidad se basarán en información verificable y en reglas claras de registro y publicación.</w:t>
      </w:r>
    </w:p>
    <w:p w:rsidR="00B61180" w:rsidP="00B61180" w:rsidRDefault="00B61180" w14:paraId="6D07DF8D" w14:textId="77777777">
      <w:pPr>
        <w:pStyle w:val="Prrafodelista"/>
        <w:numPr>
          <w:ilvl w:val="0"/>
          <w:numId w:val="28"/>
        </w:numPr>
        <w:jc w:val="both"/>
        <w:rPr>
          <w:rFonts w:ascii="Arial" w:hAnsi="Arial" w:cs="Arial"/>
          <w:b/>
          <w:bCs/>
          <w:sz w:val="24"/>
          <w:szCs w:val="24"/>
        </w:rPr>
      </w:pPr>
      <w:r w:rsidRPr="1AB6159B">
        <w:rPr>
          <w:rFonts w:ascii="Arial" w:hAnsi="Arial" w:eastAsia="Arial" w:cs="Arial"/>
          <w:b/>
          <w:bCs/>
          <w:sz w:val="24"/>
          <w:szCs w:val="24"/>
        </w:rPr>
        <w:t xml:space="preserve">16. Principio de Mejora continua: </w:t>
      </w:r>
      <w:r w:rsidRPr="1AB6159B">
        <w:rPr>
          <w:rFonts w:ascii="Arial" w:hAnsi="Arial" w:eastAsia="Arial" w:cs="Arial"/>
          <w:sz w:val="24"/>
          <w:szCs w:val="24"/>
        </w:rPr>
        <w:t>sistema promoverá la revisión y el fortalecimiento permanente de sus procesos, herramientas y mecanismos de seguimiento, con el fin de incorporar las lecciones aprendidas, atender las oportunidades de mejora identificadas durante su implementación y contribuir al cumplimiento efectivo de los acuerdos derivados del proceso participativo, mediante la articulación entre las entidades competentes y las comunidades, de conformidad con la Constitución Política, la ley y la presente resolución.</w:t>
      </w:r>
      <w:r w:rsidRPr="1AB6159B">
        <w:rPr>
          <w:rFonts w:ascii="Arial" w:hAnsi="Arial" w:cs="Arial"/>
          <w:b/>
          <w:bCs/>
          <w:sz w:val="24"/>
          <w:szCs w:val="24"/>
        </w:rPr>
        <w:t xml:space="preserve">1.5 El sistema como engranaje de los seis ineludibles </w:t>
      </w:r>
    </w:p>
    <w:p w:rsidR="00B61180" w:rsidP="00B61180" w:rsidRDefault="00B61180" w14:paraId="6218069A" w14:textId="77777777">
      <w:pPr>
        <w:jc w:val="both"/>
        <w:rPr>
          <w:rFonts w:ascii="Arial" w:hAnsi="Arial" w:cs="Arial"/>
          <w:b/>
          <w:bCs/>
          <w:sz w:val="24"/>
          <w:szCs w:val="24"/>
        </w:rPr>
      </w:pPr>
      <w:r w:rsidRPr="001E3F4D">
        <w:rPr>
          <w:rFonts w:ascii="Arial" w:hAnsi="Arial" w:cs="Arial"/>
          <w:b/>
          <w:bCs/>
          <w:sz w:val="24"/>
          <w:szCs w:val="24"/>
        </w:rPr>
        <w:t>El sistema como engranaje de los seis ineludibles</w:t>
      </w:r>
      <w:r>
        <w:rPr>
          <w:rFonts w:ascii="Arial" w:hAnsi="Arial" w:cs="Arial"/>
          <w:b/>
          <w:bCs/>
          <w:sz w:val="24"/>
          <w:szCs w:val="24"/>
        </w:rPr>
        <w:t xml:space="preserve"> </w:t>
      </w:r>
    </w:p>
    <w:p w:rsidR="00B61180" w:rsidP="00B61180" w:rsidRDefault="00B61180" w14:paraId="4EC22ED1" w14:textId="77777777">
      <w:pPr>
        <w:jc w:val="both"/>
        <w:rPr>
          <w:rFonts w:ascii="Arial" w:hAnsi="Arial" w:cs="Arial"/>
          <w:sz w:val="24"/>
          <w:szCs w:val="24"/>
        </w:rPr>
      </w:pPr>
      <w:r w:rsidRPr="1AB6159B">
        <w:rPr>
          <w:rFonts w:ascii="Arial" w:hAnsi="Arial" w:cs="Arial"/>
          <w:sz w:val="24"/>
          <w:szCs w:val="24"/>
        </w:rPr>
        <w:t xml:space="preserve">El sistema de fiscalización constituye un componente transversal de la resolución de delimitación y el sistema de gestión para su implementación. Su finalidad no se limita </w:t>
      </w:r>
      <w:r w:rsidRPr="1AB6159B">
        <w:rPr>
          <w:rFonts w:ascii="Arial" w:hAnsi="Arial" w:cs="Arial"/>
          <w:sz w:val="24"/>
          <w:szCs w:val="24"/>
        </w:rPr>
        <w:t>al desarrollo del Ineludible 3, sino que se proyecta sobre la totalidad de los seis temas ineludibles construidos durante el proceso participativo, al proporcionar los mecanismos de articulación institucional, gestión de la información, trazabilidad, transparencia, participación ciudadana, rendición de cuentas y evaluación que permiten verificar el estado de implementación de la resolución de delimitación participativa del páramo, conforme a lo  definido por la Sentencia T-361 de 2017.</w:t>
      </w:r>
    </w:p>
    <w:p w:rsidR="00B61180" w:rsidP="00B61180" w:rsidRDefault="00B61180" w14:paraId="0A8ADED9" w14:textId="77777777">
      <w:pPr>
        <w:jc w:val="both"/>
      </w:pPr>
      <w:r w:rsidRPr="1AB6159B">
        <w:rPr>
          <w:rFonts w:ascii="Arial" w:hAnsi="Arial" w:cs="Arial"/>
          <w:sz w:val="24"/>
          <w:szCs w:val="24"/>
        </w:rPr>
        <w:t xml:space="preserve">En este contexto, el sistema permite verificar el estado de implementación de las decisiones adoptadas en cada uno de los seis ineludibles, consolidando información verificable sobre las actuaciones adelantadas por las autoridades competentes, el cumplimiento de los compromisos derivados del proceso participativo, la atención de las alertas relacionadas con la implementación de la resolución y el avance de las medidas previstas para la protección integral del complejo de páramos Santurbán -Berlín. </w:t>
      </w:r>
    </w:p>
    <w:p w:rsidR="00B61180" w:rsidP="00B61180" w:rsidRDefault="00B61180" w14:paraId="0C93D2EC" w14:textId="77777777">
      <w:pPr>
        <w:jc w:val="both"/>
        <w:rPr>
          <w:rFonts w:ascii="Arial" w:hAnsi="Arial" w:cs="Arial"/>
          <w:sz w:val="24"/>
          <w:szCs w:val="24"/>
        </w:rPr>
      </w:pPr>
      <w:r w:rsidRPr="1AB6159B">
        <w:rPr>
          <w:rFonts w:ascii="Arial" w:hAnsi="Arial" w:cs="Arial"/>
          <w:sz w:val="24"/>
          <w:szCs w:val="24"/>
        </w:rPr>
        <w:t xml:space="preserve">Esta verificación se desarrolla mediante la gestión integral de la información, sin sustituir las competencias constitucionales y legales de las autoridades responsables de la ejecución, inspección, vigilancia, control o sanción. La relación entre el sistema de fiscalización y los demás ineludibles responde a un modelo de integración funcional. Cada uno de ellos desarrolla un componente específico de la resolución de delimitación y, a su vez, encuentra en el Sistema el instrumento que permite hacer visible su estado de implementación, fortalecer la coordinación entre las entidades responsables, facilitar el acceso a la información y promover el ejercicio del control social por parte de las comunidades. </w:t>
      </w:r>
    </w:p>
    <w:p w:rsidR="00B61180" w:rsidP="00B61180" w:rsidRDefault="00B61180" w14:paraId="1E0F6208" w14:textId="77777777">
      <w:pPr>
        <w:jc w:val="both"/>
        <w:rPr>
          <w:rFonts w:ascii="Arial" w:hAnsi="Arial" w:cs="Arial"/>
          <w:sz w:val="24"/>
          <w:szCs w:val="24"/>
        </w:rPr>
      </w:pPr>
      <w:r w:rsidRPr="1AB6159B">
        <w:rPr>
          <w:rFonts w:ascii="Arial" w:hAnsi="Arial" w:cs="Arial"/>
          <w:sz w:val="24"/>
          <w:szCs w:val="24"/>
        </w:rPr>
        <w:t xml:space="preserve">La información proveniente del territorio, de las autoridades ambientales, de las entidades territoriales y de los demás integrantes del sistema es consolidada y organizada para apoyar el funcionamiento de la Instancia de Coordinación, la cual, mediante la verificación colegiada de dicha información, orienta la mejora continua del sistema y fortalece la implementación progresiva de la resolución de delimitación. De esta manera, el flujo permanente de información entre las comunidades, las instituciones y la Instancia de Coordinación consolida un modelo de gobernanza ambiental basado en la corresponsabilidad, la transparencia y la participación efectiva. </w:t>
      </w:r>
    </w:p>
    <w:p w:rsidR="00B61180" w:rsidP="00B61180" w:rsidRDefault="00B61180" w14:paraId="4F308C85" w14:textId="77777777">
      <w:pPr>
        <w:jc w:val="both"/>
        <w:rPr>
          <w:rFonts w:ascii="Arial" w:hAnsi="Arial" w:cs="Arial"/>
          <w:sz w:val="24"/>
          <w:szCs w:val="24"/>
        </w:rPr>
      </w:pPr>
      <w:r w:rsidRPr="1AB6159B">
        <w:rPr>
          <w:rFonts w:ascii="Arial" w:hAnsi="Arial" w:cs="Arial"/>
          <w:sz w:val="24"/>
          <w:szCs w:val="24"/>
        </w:rPr>
        <w:t xml:space="preserve">En consecuencia, el sistema de fiscalización constituye el eje articulador de la implementación de la resolución de delimitación, al permitir verificar de manera permanente el estado de implementación de los seis ineludibles, fortalecer la coordinación institucional, facilitar la toma de decisiones y garantizar que la fase de fiscalización prevista por la Sentencia T-361 de 2017 se mantenga vigente durante toda la ejecución de la resolución. Los apartados siguientes desarrollan la forma en que el sistema de fiscalización se articula con cada uno de los seis ineludibles, </w:t>
      </w:r>
      <w:r w:rsidRPr="1AB6159B">
        <w:rPr>
          <w:rFonts w:ascii="Arial" w:hAnsi="Arial" w:cs="Arial"/>
          <w:sz w:val="24"/>
          <w:szCs w:val="24"/>
        </w:rPr>
        <w:t>evidenciando los mecanismos mediante los cuales contribuye a la verificación del estado de implementación de la resolución, al fortalecimiento de la gobernanza ambiental y al cumplimiento de las decisiones adoptadas durante el proceso participativo.</w:t>
      </w:r>
    </w:p>
    <w:p w:rsidR="00B61180" w:rsidP="00B61180" w:rsidRDefault="00B61180" w14:paraId="148BAC53" w14:textId="77777777">
      <w:pPr>
        <w:jc w:val="both"/>
        <w:rPr>
          <w:rFonts w:ascii="Arial" w:hAnsi="Arial" w:cs="Arial"/>
          <w:b/>
          <w:bCs/>
          <w:sz w:val="24"/>
          <w:szCs w:val="24"/>
        </w:rPr>
      </w:pPr>
      <w:r w:rsidRPr="1AB6159B">
        <w:rPr>
          <w:rFonts w:ascii="Arial" w:hAnsi="Arial" w:cs="Arial"/>
          <w:b/>
          <w:bCs/>
          <w:sz w:val="24"/>
          <w:szCs w:val="24"/>
        </w:rPr>
        <w:t>Ineludible 1 Área de referencia del páramo</w:t>
      </w:r>
    </w:p>
    <w:p w:rsidR="00B61180" w:rsidP="00B61180" w:rsidRDefault="00B61180" w14:paraId="4D5EB61B" w14:textId="77777777">
      <w:pPr>
        <w:jc w:val="both"/>
        <w:rPr>
          <w:rFonts w:ascii="Arial" w:hAnsi="Arial" w:cs="Arial"/>
          <w:sz w:val="24"/>
          <w:szCs w:val="24"/>
        </w:rPr>
      </w:pPr>
      <w:r w:rsidRPr="1AB6159B">
        <w:rPr>
          <w:rFonts w:ascii="Arial" w:hAnsi="Arial" w:cs="Arial"/>
          <w:sz w:val="24"/>
          <w:szCs w:val="24"/>
        </w:rPr>
        <w:t xml:space="preserve">La delimitación constituye el punto de referencia espacial sobre el cual se desarrolla el sistema de fiscalización y determina el ámbito territorial de aplicación de las medidas de protección previstas en la resolución de delimitación y en la normativa vigente para los ecosistemas de páramo. En consecuencia, el sistema orienta sus mecanismos de seguimiento y verificación respecto de las actuaciones que se desarrollen dentro del área delimitada, en concordancia con el régimen especial de protección establecido, entre otras disposiciones, en el artículo 5 de la Ley 1930 de 2018. </w:t>
      </w:r>
    </w:p>
    <w:p w:rsidR="00B61180" w:rsidP="00B61180" w:rsidRDefault="00B61180" w14:paraId="457D0E5D" w14:textId="77777777">
      <w:pPr>
        <w:jc w:val="both"/>
        <w:rPr>
          <w:rFonts w:ascii="Arial" w:hAnsi="Arial" w:cs="Arial"/>
          <w:sz w:val="24"/>
          <w:szCs w:val="24"/>
        </w:rPr>
      </w:pPr>
      <w:r w:rsidRPr="1AB6159B">
        <w:rPr>
          <w:rFonts w:ascii="Arial" w:hAnsi="Arial" w:cs="Arial"/>
          <w:sz w:val="24"/>
          <w:szCs w:val="24"/>
        </w:rPr>
        <w:t>En desarrollo de la fase de fiscalización prevista en la Sentencia T-361 de 2017, el sistema realiza el seguimiento y la trazabilidad de la información relacionada con las actividades prohibidas que puedan presentarse dentro del área delimitada, mediante el registro de alertas, la articulación con las autoridades competentes y la verificación del estado de las actuaciones adelantadas por estas, sin sustituir las competencias de inspección, vigilancia, control y sanción que el ordenamiento jurídico atribuye a las autoridades ambientales y demás entidades competentes.</w:t>
      </w:r>
    </w:p>
    <w:p w:rsidR="00B61180" w:rsidP="00B61180" w:rsidRDefault="00B61180" w14:paraId="699CD67B" w14:textId="77777777">
      <w:pPr>
        <w:jc w:val="both"/>
        <w:rPr>
          <w:rFonts w:ascii="Arial" w:hAnsi="Arial" w:cs="Arial"/>
          <w:sz w:val="24"/>
          <w:szCs w:val="24"/>
        </w:rPr>
      </w:pPr>
      <w:r w:rsidRPr="1AB6159B">
        <w:rPr>
          <w:rFonts w:ascii="Arial" w:hAnsi="Arial" w:cs="Arial"/>
          <w:sz w:val="24"/>
          <w:szCs w:val="24"/>
        </w:rPr>
        <w:t xml:space="preserve">Igualmente, el sistema promueve el acceso oportuno, público y comprensible a la información cartográfica oficial de la delimitación, reconociendo que la disponibilidad de información geográfica clara constituye un presupuesto indispensable para garantizar la participación informada, el acceso a la información ambiental, el ejercicio del control social y la adecuada identificación de las situaciones que puedan afectar el ecosistema de páramo. </w:t>
      </w:r>
    </w:p>
    <w:p w:rsidR="00B61180" w:rsidP="00B61180" w:rsidRDefault="00B61180" w14:paraId="40DD1E93" w14:textId="77777777">
      <w:pPr>
        <w:jc w:val="both"/>
      </w:pPr>
      <w:r w:rsidRPr="1AB6159B">
        <w:rPr>
          <w:rFonts w:ascii="Arial" w:hAnsi="Arial" w:cs="Arial"/>
          <w:sz w:val="24"/>
          <w:szCs w:val="24"/>
        </w:rPr>
        <w:t xml:space="preserve">El sistema reconoce que la protección efectiva del páramo trasciende el polígono delimitado y requiere una gestión articulada con los demás instrumentos de planificación y ordenamiento ambiental y territorial aplicables al territorio, entre ellos los Planes de Ordenación y Manejo de Cuencas Hidrográficas (POMCA), los planes de manejo ambiental y los instrumentos de ordenamiento territorial de las entidades competentes. En este contexto, el sistema incorpora dentro de sus mecanismos de seguimiento la información relacionada con la gestión de la franja de transición entre el bosque altoandino y el páramo, identificada por el Instituto de Investigación de Recursos Biológicos Alexander von Humboldt como un espacio estratégico para la conectividad ecológica y la disminución de las presiones externas sobre el ecosistema. </w:t>
      </w:r>
    </w:p>
    <w:p w:rsidR="00B61180" w:rsidP="00B61180" w:rsidRDefault="00B61180" w14:paraId="7DEACAD6" w14:textId="77777777">
      <w:pPr>
        <w:jc w:val="both"/>
        <w:rPr>
          <w:rFonts w:ascii="Arial" w:hAnsi="Arial" w:cs="Arial"/>
          <w:sz w:val="24"/>
          <w:szCs w:val="24"/>
        </w:rPr>
      </w:pPr>
      <w:r w:rsidRPr="1AB6159B">
        <w:rPr>
          <w:rFonts w:ascii="Arial" w:hAnsi="Arial" w:cs="Arial"/>
          <w:sz w:val="24"/>
          <w:szCs w:val="24"/>
        </w:rPr>
        <w:t>En consecuencia, el sistema realiza seguimiento a la incorporación progresiva de estos criterios ecológicos dentro de los instrumentos de planificación y ordenamiento territorial, registrando los avances institucionales correspondientes y facilitando su conocimiento por parte de las comunidades, sin sustituir las competencias propias de las autoridades responsables de su formulación, adopción o control.</w:t>
      </w:r>
    </w:p>
    <w:p w:rsidRPr="00B1090F" w:rsidR="00B61180" w:rsidP="00B61180" w:rsidRDefault="00B61180" w14:paraId="337460FD" w14:textId="77777777">
      <w:pPr>
        <w:jc w:val="both"/>
        <w:rPr>
          <w:rFonts w:ascii="Arial" w:hAnsi="Arial" w:cs="Arial"/>
          <w:sz w:val="24"/>
          <w:szCs w:val="24"/>
        </w:rPr>
      </w:pPr>
      <w:r w:rsidRPr="1AB6159B">
        <w:rPr>
          <w:rFonts w:ascii="Arial" w:hAnsi="Arial" w:cs="Arial"/>
          <w:sz w:val="24"/>
          <w:szCs w:val="24"/>
        </w:rPr>
        <w:t>En el complejo de páramos jurisdicciones-Santurbán-Berlín confluyen múltiples figuras de ordenamiento ambiental, figuras de ordenamiento social de la propiedad rural y derechos territoriales de las comunidades locales. Esta superposición de normativas genera un tejido complejo donde la conservación ambiental choca o se armoniza con la tenencia de la tierra.  Estas figuras delimitan qué actividades se pueden realizar en el suelo rural y cómo deben protegerse la biodiversidad y el ciclo hídrico:</w:t>
      </w:r>
    </w:p>
    <w:p w:rsidRPr="00B1090F" w:rsidR="00B61180" w:rsidP="00B61180" w:rsidRDefault="00B61180" w14:paraId="12B99D75" w14:textId="77777777">
      <w:pPr>
        <w:jc w:val="both"/>
        <w:rPr>
          <w:rFonts w:ascii="Arial" w:hAnsi="Arial" w:cs="Arial"/>
          <w:i/>
          <w:iCs/>
          <w:sz w:val="24"/>
          <w:szCs w:val="24"/>
        </w:rPr>
      </w:pPr>
      <w:r w:rsidRPr="1AB6159B">
        <w:rPr>
          <w:rFonts w:ascii="Arial" w:hAnsi="Arial" w:cs="Arial"/>
          <w:i/>
          <w:iCs/>
          <w:sz w:val="24"/>
          <w:szCs w:val="24"/>
        </w:rPr>
        <w:t>Figuras de Ordenamiento Ambiental y del Territorio Rural</w:t>
      </w:r>
    </w:p>
    <w:p w:rsidRPr="00B1090F" w:rsidR="00B61180" w:rsidP="00B61180" w:rsidRDefault="00B61180" w14:paraId="75DA5948" w14:textId="77777777">
      <w:pPr>
        <w:numPr>
          <w:ilvl w:val="0"/>
          <w:numId w:val="32"/>
        </w:numPr>
        <w:jc w:val="both"/>
        <w:rPr>
          <w:rFonts w:ascii="Arial" w:hAnsi="Arial" w:cs="Arial"/>
          <w:sz w:val="24"/>
          <w:szCs w:val="24"/>
        </w:rPr>
      </w:pPr>
      <w:r w:rsidRPr="1AB6159B">
        <w:rPr>
          <w:rFonts w:ascii="Arial" w:hAnsi="Arial" w:cs="Arial"/>
          <w:b/>
          <w:bCs/>
          <w:sz w:val="24"/>
          <w:szCs w:val="24"/>
        </w:rPr>
        <w:t xml:space="preserve">Distrito de Manejo Integrado (DMI) Páramo de Berlín: </w:t>
      </w:r>
      <w:r w:rsidRPr="1AB6159B">
        <w:rPr>
          <w:rFonts w:ascii="Arial" w:hAnsi="Arial" w:cs="Arial"/>
          <w:sz w:val="24"/>
          <w:szCs w:val="24"/>
        </w:rPr>
        <w:t xml:space="preserve">abarca 44.272 hectáreas. Es un área protegida de escala regional gestionada por las Corporaciones Autónomas Regionales que permite el uso sostenible del suelo rural, siendo clave para la producción regulada de alimentos (como la cebolla larga en el corregimiento de Berlín) bajo lineamientos agroecológicos. </w:t>
      </w:r>
    </w:p>
    <w:p w:rsidRPr="00B1090F" w:rsidR="00B61180" w:rsidP="00B61180" w:rsidRDefault="00B61180" w14:paraId="54A01FCF" w14:textId="77777777">
      <w:pPr>
        <w:numPr>
          <w:ilvl w:val="0"/>
          <w:numId w:val="32"/>
        </w:numPr>
        <w:jc w:val="both"/>
        <w:rPr>
          <w:rFonts w:ascii="Arial" w:hAnsi="Arial" w:cs="Arial"/>
          <w:sz w:val="24"/>
          <w:szCs w:val="24"/>
        </w:rPr>
      </w:pPr>
      <w:r w:rsidRPr="1AB6159B">
        <w:rPr>
          <w:rFonts w:ascii="Arial" w:hAnsi="Arial" w:cs="Arial"/>
          <w:b/>
          <w:bCs/>
          <w:sz w:val="24"/>
          <w:szCs w:val="24"/>
        </w:rPr>
        <w:t>Parques Naturales Regionales (PNR):</w:t>
      </w:r>
      <w:r w:rsidRPr="1AB6159B">
        <w:rPr>
          <w:rFonts w:ascii="Arial" w:hAnsi="Arial" w:cs="Arial"/>
          <w:sz w:val="24"/>
          <w:szCs w:val="24"/>
        </w:rPr>
        <w:t xml:space="preserve"> áreas de conservación estricta como el </w:t>
      </w:r>
      <w:r w:rsidRPr="1AB6159B">
        <w:rPr>
          <w:rFonts w:ascii="Arial" w:hAnsi="Arial" w:cs="Arial"/>
          <w:i/>
          <w:iCs/>
          <w:sz w:val="24"/>
          <w:szCs w:val="24"/>
        </w:rPr>
        <w:t>PNR Páramo de Santurbán</w:t>
      </w:r>
      <w:r w:rsidRPr="1AB6159B">
        <w:rPr>
          <w:rFonts w:ascii="Arial" w:hAnsi="Arial" w:cs="Arial"/>
          <w:sz w:val="24"/>
          <w:szCs w:val="24"/>
        </w:rPr>
        <w:t xml:space="preserve"> (Santander) o el </w:t>
      </w:r>
      <w:r w:rsidRPr="1AB6159B">
        <w:rPr>
          <w:rFonts w:ascii="Arial" w:hAnsi="Arial" w:cs="Arial"/>
          <w:i/>
          <w:iCs/>
          <w:sz w:val="24"/>
          <w:szCs w:val="24"/>
        </w:rPr>
        <w:t>PNR Sisavita</w:t>
      </w:r>
      <w:r w:rsidRPr="1AB6159B">
        <w:rPr>
          <w:rFonts w:ascii="Arial" w:hAnsi="Arial" w:cs="Arial"/>
          <w:sz w:val="24"/>
          <w:szCs w:val="24"/>
        </w:rPr>
        <w:t xml:space="preserve"> (Norte de Santander). En estas zonas, el ordenamiento territorial rural prohíbe de forma absoluta la expansión de la frontera agrícola y la minería.</w:t>
      </w:r>
    </w:p>
    <w:p w:rsidRPr="00B1090F" w:rsidR="00B61180" w:rsidP="00B61180" w:rsidRDefault="00B61180" w14:paraId="1DF11D65" w14:textId="77777777">
      <w:pPr>
        <w:numPr>
          <w:ilvl w:val="0"/>
          <w:numId w:val="32"/>
        </w:numPr>
        <w:jc w:val="both"/>
        <w:rPr>
          <w:rFonts w:ascii="Arial" w:hAnsi="Arial" w:cs="Arial"/>
          <w:sz w:val="24"/>
          <w:szCs w:val="24"/>
        </w:rPr>
      </w:pPr>
      <w:r w:rsidRPr="1AB6159B">
        <w:rPr>
          <w:rFonts w:ascii="Arial" w:hAnsi="Arial" w:cs="Arial"/>
          <w:b/>
          <w:bCs/>
          <w:sz w:val="24"/>
          <w:szCs w:val="24"/>
        </w:rPr>
        <w:t>Áreas de Gestión Integral del Territorio</w:t>
      </w:r>
      <w:r w:rsidRPr="1AB6159B">
        <w:rPr>
          <w:rFonts w:ascii="Arial" w:hAnsi="Arial" w:cs="Arial"/>
          <w:sz w:val="24"/>
          <w:szCs w:val="24"/>
        </w:rPr>
        <w:t xml:space="preserve"> (Zonificación de Páramo): derivadas de la </w:t>
      </w:r>
      <w:hyperlink r:id="rId12">
        <w:r w:rsidRPr="1AB6159B">
          <w:rPr>
            <w:rStyle w:val="Hipervnculo"/>
            <w:rFonts w:ascii="Arial" w:hAnsi="Arial" w:cs="Arial"/>
            <w:sz w:val="24"/>
            <w:szCs w:val="24"/>
          </w:rPr>
          <w:t>Ley 1930 de 2018 (Ley de Páramos)</w:t>
        </w:r>
      </w:hyperlink>
      <w:r w:rsidRPr="1AB6159B">
        <w:rPr>
          <w:rFonts w:ascii="Arial" w:hAnsi="Arial" w:cs="Arial"/>
          <w:sz w:val="24"/>
          <w:szCs w:val="24"/>
        </w:rPr>
        <w:t xml:space="preserve"> y la </w:t>
      </w:r>
      <w:hyperlink r:id="rId13">
        <w:r w:rsidRPr="1AB6159B">
          <w:rPr>
            <w:rStyle w:val="Hipervnculo"/>
            <w:rFonts w:ascii="Arial" w:hAnsi="Arial" w:cs="Arial"/>
            <w:sz w:val="24"/>
            <w:szCs w:val="24"/>
          </w:rPr>
          <w:t>Sentencia T-361 de 2017</w:t>
        </w:r>
      </w:hyperlink>
      <w:r w:rsidRPr="1AB6159B">
        <w:rPr>
          <w:rFonts w:ascii="Arial" w:hAnsi="Arial" w:cs="Arial"/>
          <w:sz w:val="24"/>
          <w:szCs w:val="24"/>
        </w:rPr>
        <w:t>. Divide el espacio rural en:</w:t>
      </w:r>
    </w:p>
    <w:p w:rsidRPr="00B1090F" w:rsidR="00B61180" w:rsidP="00B61180" w:rsidRDefault="00B61180" w14:paraId="46017353" w14:textId="77777777">
      <w:pPr>
        <w:ind w:left="1440"/>
        <w:jc w:val="both"/>
        <w:rPr>
          <w:rFonts w:ascii="Arial" w:hAnsi="Arial" w:cs="Arial"/>
          <w:sz w:val="24"/>
          <w:szCs w:val="24"/>
        </w:rPr>
      </w:pPr>
      <w:r w:rsidRPr="1AB6159B">
        <w:rPr>
          <w:rFonts w:ascii="Arial" w:hAnsi="Arial" w:cs="Arial"/>
          <w:i/>
          <w:iCs/>
          <w:sz w:val="24"/>
          <w:szCs w:val="24"/>
        </w:rPr>
        <w:t>1. Áreas de preservación:</w:t>
      </w:r>
      <w:r w:rsidRPr="1AB6159B">
        <w:rPr>
          <w:rFonts w:ascii="Arial" w:hAnsi="Arial" w:cs="Arial"/>
          <w:sz w:val="24"/>
          <w:szCs w:val="24"/>
        </w:rPr>
        <w:t xml:space="preserve"> exclusivas para conservación.</w:t>
      </w:r>
    </w:p>
    <w:p w:rsidRPr="00B1090F" w:rsidR="00B61180" w:rsidP="00B61180" w:rsidRDefault="00B61180" w14:paraId="40B20381" w14:textId="77777777">
      <w:pPr>
        <w:ind w:left="1440"/>
        <w:jc w:val="both"/>
        <w:rPr>
          <w:rFonts w:ascii="Arial" w:hAnsi="Arial" w:cs="Arial"/>
          <w:sz w:val="24"/>
          <w:szCs w:val="24"/>
        </w:rPr>
      </w:pPr>
      <w:r w:rsidRPr="1AB6159B">
        <w:rPr>
          <w:rFonts w:ascii="Arial" w:hAnsi="Arial" w:cs="Arial"/>
          <w:i/>
          <w:iCs/>
          <w:sz w:val="24"/>
          <w:szCs w:val="24"/>
        </w:rPr>
        <w:t>2. Áreas de restauración:</w:t>
      </w:r>
      <w:r w:rsidRPr="1AB6159B">
        <w:rPr>
          <w:rFonts w:ascii="Arial" w:hAnsi="Arial" w:cs="Arial"/>
          <w:sz w:val="24"/>
          <w:szCs w:val="24"/>
        </w:rPr>
        <w:t xml:space="preserve"> destinadas a la recuperación del suelo degradado.</w:t>
      </w:r>
    </w:p>
    <w:p w:rsidRPr="00B1090F" w:rsidR="00B61180" w:rsidP="00B61180" w:rsidRDefault="00B61180" w14:paraId="083D493A" w14:textId="77777777">
      <w:pPr>
        <w:ind w:left="1440"/>
        <w:jc w:val="both"/>
        <w:rPr>
          <w:rFonts w:ascii="Arial" w:hAnsi="Arial" w:cs="Arial"/>
          <w:sz w:val="24"/>
          <w:szCs w:val="24"/>
        </w:rPr>
      </w:pPr>
      <w:r w:rsidRPr="1AB6159B">
        <w:rPr>
          <w:rFonts w:ascii="Arial" w:hAnsi="Arial" w:cs="Arial"/>
          <w:i/>
          <w:iCs/>
          <w:sz w:val="24"/>
          <w:szCs w:val="24"/>
        </w:rPr>
        <w:t>3. Áreas de reconversión productiva o agricultura sostenible:</w:t>
      </w:r>
      <w:r w:rsidRPr="1AB6159B">
        <w:rPr>
          <w:rFonts w:ascii="Arial" w:hAnsi="Arial" w:cs="Arial"/>
          <w:sz w:val="24"/>
          <w:szCs w:val="24"/>
        </w:rPr>
        <w:t xml:space="preserve"> donde se ordena el suelo para la transición hacia cultivos de bajo impacto ambiental. </w:t>
      </w:r>
    </w:p>
    <w:p w:rsidRPr="00B1090F" w:rsidR="00B61180" w:rsidP="00B61180" w:rsidRDefault="00B61180" w14:paraId="322EF5FC" w14:textId="77777777">
      <w:pPr>
        <w:jc w:val="both"/>
        <w:rPr>
          <w:rFonts w:ascii="Arial" w:hAnsi="Arial" w:cs="Arial"/>
          <w:i/>
          <w:iCs/>
          <w:sz w:val="24"/>
          <w:szCs w:val="24"/>
        </w:rPr>
      </w:pPr>
      <w:r w:rsidRPr="1AB6159B">
        <w:rPr>
          <w:rFonts w:ascii="Arial" w:hAnsi="Arial" w:cs="Arial"/>
          <w:i/>
          <w:iCs/>
          <w:sz w:val="24"/>
          <w:szCs w:val="24"/>
        </w:rPr>
        <w:t>Figuras de Organización Social de la Propiedad Rural</w:t>
      </w:r>
    </w:p>
    <w:p w:rsidRPr="00B1090F" w:rsidR="00B61180" w:rsidP="00B61180" w:rsidRDefault="00B61180" w14:paraId="4E9F9C10" w14:textId="77777777">
      <w:pPr>
        <w:jc w:val="both"/>
        <w:rPr>
          <w:rFonts w:ascii="Arial" w:hAnsi="Arial" w:cs="Arial"/>
          <w:sz w:val="24"/>
          <w:szCs w:val="24"/>
        </w:rPr>
      </w:pPr>
      <w:r w:rsidRPr="00B1090F">
        <w:rPr>
          <w:rFonts w:ascii="Arial" w:hAnsi="Arial" w:cs="Arial"/>
          <w:sz w:val="24"/>
          <w:szCs w:val="24"/>
        </w:rPr>
        <w:t xml:space="preserve">Estas figuras definen quién es el dueño de la tierra, cómo se distribuye y qué seguridad jurídica tienen sus habitantes: </w:t>
      </w:r>
    </w:p>
    <w:p w:rsidRPr="00B1090F" w:rsidR="00B61180" w:rsidP="00B61180" w:rsidRDefault="00B61180" w14:paraId="5C32F1A5" w14:textId="77777777">
      <w:pPr>
        <w:numPr>
          <w:ilvl w:val="0"/>
          <w:numId w:val="33"/>
        </w:numPr>
        <w:jc w:val="both"/>
        <w:rPr>
          <w:rFonts w:ascii="Arial" w:hAnsi="Arial" w:cs="Arial"/>
          <w:sz w:val="24"/>
          <w:szCs w:val="24"/>
        </w:rPr>
      </w:pPr>
      <w:r w:rsidRPr="1AB6159B">
        <w:rPr>
          <w:rFonts w:ascii="Arial" w:hAnsi="Arial" w:cs="Arial"/>
          <w:b/>
          <w:bCs/>
          <w:sz w:val="24"/>
          <w:szCs w:val="24"/>
        </w:rPr>
        <w:t>Propiedad Privada Tradicional y Minifundios Campesinos:</w:t>
      </w:r>
      <w:r w:rsidRPr="1AB6159B">
        <w:rPr>
          <w:rFonts w:ascii="Arial" w:hAnsi="Arial" w:cs="Arial"/>
          <w:sz w:val="24"/>
          <w:szCs w:val="24"/>
        </w:rPr>
        <w:t xml:space="preserve">el territorio rural de Santurbán-Berlín se caracteriza por una alta presencia de pequeñas parcelas privadas de origen ancestral. En las mesas de diálogo amparadas por la Sentencia T-361 el </w:t>
      </w:r>
      <w:hyperlink r:id="rId14">
        <w:r w:rsidRPr="1AB6159B">
          <w:rPr>
            <w:rStyle w:val="Hipervnculo"/>
            <w:rFonts w:ascii="Arial" w:hAnsi="Arial" w:cs="Arial"/>
            <w:sz w:val="24"/>
            <w:szCs w:val="24"/>
          </w:rPr>
          <w:t>Ministerio de Ambiente</w:t>
        </w:r>
      </w:hyperlink>
      <w:r w:rsidRPr="1AB6159B">
        <w:rPr>
          <w:rFonts w:ascii="Arial" w:hAnsi="Arial" w:cs="Arial"/>
          <w:sz w:val="24"/>
          <w:szCs w:val="24"/>
        </w:rPr>
        <w:t xml:space="preserve"> ha tenido que pactar explícitamente que la delimitación no será objeto de expropiación ni de afectación patrimonial para estos campesinos. </w:t>
      </w:r>
    </w:p>
    <w:p w:rsidRPr="00B1090F" w:rsidR="00B61180" w:rsidP="00B61180" w:rsidRDefault="00B61180" w14:paraId="296D2CFF" w14:textId="77777777">
      <w:pPr>
        <w:numPr>
          <w:ilvl w:val="0"/>
          <w:numId w:val="33"/>
        </w:numPr>
        <w:jc w:val="both"/>
        <w:rPr>
          <w:rFonts w:ascii="Arial" w:hAnsi="Arial" w:cs="Arial"/>
          <w:sz w:val="24"/>
          <w:szCs w:val="24"/>
        </w:rPr>
      </w:pPr>
      <w:r w:rsidRPr="1AB6159B">
        <w:rPr>
          <w:rFonts w:ascii="Arial" w:hAnsi="Arial" w:cs="Arial"/>
          <w:b/>
          <w:bCs/>
          <w:sz w:val="24"/>
          <w:szCs w:val="24"/>
        </w:rPr>
        <w:t>Títulos Mineros y Servidumbres Subterráneas:</w:t>
      </w:r>
      <w:r w:rsidRPr="1AB6159B">
        <w:rPr>
          <w:rFonts w:ascii="Arial" w:hAnsi="Arial" w:cs="Arial"/>
          <w:sz w:val="24"/>
          <w:szCs w:val="24"/>
        </w:rPr>
        <w:t xml:space="preserve"> confluyen derechos de propiedad y concesiones mineras tradicionales e industriales (especialmente en municipios de la provincia de Soto Norte como Vetas, California y Suratá). Al superponerse con el ordenamiento ambiental, se genera un choque de derechos entre la explotación del subsuelo y la propiedad superficial o ambiental. </w:t>
      </w:r>
    </w:p>
    <w:p w:rsidRPr="00B1090F" w:rsidR="00B61180" w:rsidP="00B61180" w:rsidRDefault="00B61180" w14:paraId="5C63F53F" w14:textId="77777777">
      <w:pPr>
        <w:numPr>
          <w:ilvl w:val="0"/>
          <w:numId w:val="33"/>
        </w:numPr>
        <w:jc w:val="both"/>
        <w:rPr>
          <w:rFonts w:ascii="Arial" w:hAnsi="Arial" w:cs="Arial"/>
          <w:sz w:val="24"/>
          <w:szCs w:val="24"/>
        </w:rPr>
      </w:pPr>
      <w:r w:rsidRPr="1AB6159B">
        <w:rPr>
          <w:rFonts w:ascii="Arial" w:hAnsi="Arial" w:cs="Arial"/>
          <w:b/>
          <w:bCs/>
          <w:sz w:val="24"/>
          <w:szCs w:val="24"/>
        </w:rPr>
        <w:t>Baldíos de la Nación:</w:t>
      </w:r>
      <w:r w:rsidRPr="1AB6159B">
        <w:rPr>
          <w:rFonts w:ascii="Arial" w:hAnsi="Arial" w:cs="Arial"/>
          <w:sz w:val="24"/>
          <w:szCs w:val="24"/>
        </w:rPr>
        <w:t xml:space="preserve"> tierras que pertenecen al Estado colombiano. El ordenamiento social de la estipula propiedad que los baldíos ubicados dentro del ecosistema delimitado de páramo no pueden ser adjudicados a particulares, sino que deben permanecer como reservas del Estado para la conservación ambiental. </w:t>
      </w:r>
    </w:p>
    <w:p w:rsidRPr="00B1090F" w:rsidR="00B61180" w:rsidP="00B61180" w:rsidRDefault="00B61180" w14:paraId="01C45E16" w14:textId="77777777">
      <w:pPr>
        <w:jc w:val="both"/>
        <w:rPr>
          <w:rFonts w:ascii="Arial" w:hAnsi="Arial" w:cs="Arial"/>
          <w:i/>
          <w:iCs/>
          <w:sz w:val="24"/>
          <w:szCs w:val="24"/>
        </w:rPr>
      </w:pPr>
      <w:r w:rsidRPr="1AB6159B">
        <w:rPr>
          <w:rFonts w:ascii="Arial" w:hAnsi="Arial" w:cs="Arial"/>
          <w:i/>
          <w:iCs/>
          <w:sz w:val="24"/>
          <w:szCs w:val="24"/>
        </w:rPr>
        <w:t>Mecanismos de Articulación y Concertación</w:t>
      </w:r>
    </w:p>
    <w:p w:rsidRPr="00B1090F" w:rsidR="00B61180" w:rsidP="00B61180" w:rsidRDefault="00B61180" w14:paraId="655A308E" w14:textId="77777777">
      <w:pPr>
        <w:jc w:val="both"/>
        <w:rPr>
          <w:rFonts w:ascii="Arial" w:hAnsi="Arial" w:cs="Arial"/>
          <w:sz w:val="24"/>
          <w:szCs w:val="24"/>
        </w:rPr>
      </w:pPr>
      <w:r w:rsidRPr="1AB6159B">
        <w:rPr>
          <w:rFonts w:ascii="Arial" w:hAnsi="Arial" w:cs="Arial"/>
          <w:sz w:val="24"/>
          <w:szCs w:val="24"/>
        </w:rPr>
        <w:t xml:space="preserve">Debido a que estas figuras chocan entre sí, el Ordenamiento Productivo y Social de la Propiedad Rural del complejo es gestionado actualmente a través de directrices de la Unidad de Planificación Rural Agropecuaria (UPRA) y las fases de concertación de la Sentencia T-361 de la siguiente manera: </w:t>
      </w:r>
    </w:p>
    <w:p w:rsidRPr="00B1090F" w:rsidR="00B61180" w:rsidP="00B61180" w:rsidRDefault="00B61180" w14:paraId="5005AB21" w14:textId="77777777">
      <w:pPr>
        <w:numPr>
          <w:ilvl w:val="0"/>
          <w:numId w:val="34"/>
        </w:numPr>
        <w:jc w:val="both"/>
        <w:rPr>
          <w:rFonts w:ascii="Arial" w:hAnsi="Arial" w:cs="Arial"/>
          <w:sz w:val="24"/>
          <w:szCs w:val="24"/>
        </w:rPr>
      </w:pPr>
      <w:r w:rsidRPr="1AB6159B">
        <w:rPr>
          <w:rFonts w:ascii="Arial" w:hAnsi="Arial" w:cs="Arial"/>
          <w:b/>
          <w:bCs/>
          <w:sz w:val="24"/>
          <w:szCs w:val="24"/>
        </w:rPr>
        <w:t>Mesas de Concertación y Líneas de Convivencia:</w:t>
      </w:r>
      <w:r w:rsidRPr="1AB6159B">
        <w:rPr>
          <w:rFonts w:ascii="Arial" w:hAnsi="Arial" w:cs="Arial"/>
          <w:sz w:val="24"/>
          <w:szCs w:val="24"/>
        </w:rPr>
        <w:t xml:space="preserve"> espacios ordenados por la Corte para que los campesinos tradicionales y el Gobierno pacten límites que reconozcan los derechos de posesión de los habitantes de alta montaña, permitiendo que sigan habitando el territorio bajo la figura de "habitantes tradicionales del páramo”. </w:t>
      </w:r>
    </w:p>
    <w:p w:rsidRPr="00B1090F" w:rsidR="00B61180" w:rsidP="00B61180" w:rsidRDefault="00B61180" w14:paraId="0482DEEB" w14:textId="77777777">
      <w:pPr>
        <w:numPr>
          <w:ilvl w:val="0"/>
          <w:numId w:val="34"/>
        </w:numPr>
        <w:jc w:val="both"/>
        <w:rPr>
          <w:rFonts w:ascii="Arial" w:hAnsi="Arial" w:cs="Arial"/>
          <w:sz w:val="24"/>
          <w:szCs w:val="24"/>
        </w:rPr>
      </w:pPr>
      <w:r w:rsidRPr="1AB6159B">
        <w:rPr>
          <w:rFonts w:ascii="Arial" w:hAnsi="Arial" w:cs="Arial"/>
          <w:b/>
          <w:bCs/>
          <w:sz w:val="24"/>
          <w:szCs w:val="24"/>
        </w:rPr>
        <w:t>Esquemas de Pago por Servicios Ambientales (PSA):</w:t>
      </w:r>
      <w:r w:rsidRPr="1AB6159B">
        <w:rPr>
          <w:rFonts w:ascii="Arial" w:hAnsi="Arial" w:cs="Arial"/>
          <w:sz w:val="24"/>
          <w:szCs w:val="24"/>
        </w:rPr>
        <w:t xml:space="preserve"> Instrumento financiero y de ordenamiento que transforma al campesino tradicional propietario de la tierra en un guardián del ecosistema, recibiendo incentivos económicos estatales a cambio de mantener intactas las fuentes hídricas de su propiedad rural.</w:t>
      </w:r>
    </w:p>
    <w:p w:rsidR="00B61180" w:rsidP="00B61180" w:rsidRDefault="00B61180" w14:paraId="2BAE8D40" w14:textId="77777777">
      <w:pPr>
        <w:jc w:val="both"/>
        <w:rPr>
          <w:rFonts w:ascii="Arial" w:hAnsi="Arial" w:cs="Arial"/>
          <w:sz w:val="24"/>
          <w:szCs w:val="24"/>
        </w:rPr>
      </w:pPr>
      <w:r w:rsidRPr="00B1090F">
        <w:rPr>
          <w:rFonts w:ascii="Arial" w:hAnsi="Arial" w:cs="Arial"/>
          <w:sz w:val="24"/>
          <w:szCs w:val="24"/>
        </w:rPr>
        <w:t>En consecuencia, el Sistema propicia su articulación mediante mecanismos de</w:t>
      </w:r>
      <w:r>
        <w:rPr>
          <w:rFonts w:ascii="Arial" w:hAnsi="Arial" w:cs="Arial"/>
          <w:sz w:val="24"/>
          <w:szCs w:val="24"/>
        </w:rPr>
        <w:t xml:space="preserve"> </w:t>
      </w:r>
      <w:r w:rsidRPr="00B1090F">
        <w:rPr>
          <w:rFonts w:ascii="Arial" w:hAnsi="Arial" w:cs="Arial"/>
          <w:sz w:val="24"/>
          <w:szCs w:val="24"/>
        </w:rPr>
        <w:t>participación, intercambio de información y seguimiento, reconociendo que las</w:t>
      </w:r>
      <w:r>
        <w:rPr>
          <w:rFonts w:ascii="Arial" w:hAnsi="Arial" w:cs="Arial"/>
          <w:sz w:val="24"/>
          <w:szCs w:val="24"/>
        </w:rPr>
        <w:t xml:space="preserve"> </w:t>
      </w:r>
      <w:r w:rsidRPr="00B1090F">
        <w:rPr>
          <w:rFonts w:ascii="Arial" w:hAnsi="Arial" w:cs="Arial"/>
          <w:sz w:val="24"/>
          <w:szCs w:val="24"/>
        </w:rPr>
        <w:t>comunidades campesinas e indígenas desempeñan un papel esencial en la</w:t>
      </w:r>
      <w:r>
        <w:rPr>
          <w:rFonts w:ascii="Arial" w:hAnsi="Arial" w:cs="Arial"/>
          <w:sz w:val="24"/>
          <w:szCs w:val="24"/>
        </w:rPr>
        <w:t xml:space="preserve"> </w:t>
      </w:r>
      <w:r w:rsidRPr="00B1090F">
        <w:rPr>
          <w:rFonts w:ascii="Arial" w:hAnsi="Arial" w:cs="Arial"/>
          <w:sz w:val="24"/>
          <w:szCs w:val="24"/>
        </w:rPr>
        <w:t>observación permanente del territorio, la identificación temprana de presiones</w:t>
      </w:r>
      <w:r>
        <w:rPr>
          <w:rFonts w:ascii="Arial" w:hAnsi="Arial" w:cs="Arial"/>
          <w:sz w:val="24"/>
          <w:szCs w:val="24"/>
        </w:rPr>
        <w:t xml:space="preserve"> </w:t>
      </w:r>
      <w:r w:rsidRPr="00B1090F">
        <w:rPr>
          <w:rFonts w:ascii="Arial" w:hAnsi="Arial" w:cs="Arial"/>
          <w:sz w:val="24"/>
          <w:szCs w:val="24"/>
        </w:rPr>
        <w:t>ambientales y el fortalecimiento del control social sobre la implementación de la</w:t>
      </w:r>
      <w:r>
        <w:rPr>
          <w:rFonts w:ascii="Arial" w:hAnsi="Arial" w:cs="Arial"/>
          <w:sz w:val="24"/>
          <w:szCs w:val="24"/>
        </w:rPr>
        <w:t xml:space="preserve"> </w:t>
      </w:r>
      <w:r w:rsidRPr="00B1090F">
        <w:rPr>
          <w:rFonts w:ascii="Arial" w:hAnsi="Arial" w:cs="Arial"/>
          <w:sz w:val="24"/>
          <w:szCs w:val="24"/>
        </w:rPr>
        <w:t>resolución de delimitación.</w:t>
      </w:r>
      <w:r>
        <w:rPr>
          <w:rFonts w:ascii="Arial" w:hAnsi="Arial" w:cs="Arial"/>
          <w:sz w:val="24"/>
          <w:szCs w:val="24"/>
        </w:rPr>
        <w:t xml:space="preserve"> </w:t>
      </w:r>
      <w:r w:rsidRPr="00B1090F">
        <w:rPr>
          <w:rFonts w:ascii="Arial" w:hAnsi="Arial" w:cs="Arial"/>
          <w:sz w:val="24"/>
          <w:szCs w:val="24"/>
        </w:rPr>
        <w:t>De igual manera, el Sistema incorpora dentro de sus procesos de seguimiento</w:t>
      </w:r>
      <w:r>
        <w:rPr>
          <w:rFonts w:ascii="Arial" w:hAnsi="Arial" w:cs="Arial"/>
          <w:sz w:val="24"/>
          <w:szCs w:val="24"/>
        </w:rPr>
        <w:t xml:space="preserve"> </w:t>
      </w:r>
      <w:r w:rsidRPr="00B1090F">
        <w:rPr>
          <w:rFonts w:ascii="Arial" w:hAnsi="Arial" w:cs="Arial"/>
          <w:sz w:val="24"/>
          <w:szCs w:val="24"/>
        </w:rPr>
        <w:t>la información relacionada con la manera en que las decisiones institucionales y</w:t>
      </w:r>
      <w:r>
        <w:rPr>
          <w:rFonts w:ascii="Arial" w:hAnsi="Arial" w:cs="Arial"/>
          <w:sz w:val="24"/>
          <w:szCs w:val="24"/>
        </w:rPr>
        <w:t xml:space="preserve"> </w:t>
      </w:r>
      <w:r w:rsidRPr="00B1090F">
        <w:rPr>
          <w:rFonts w:ascii="Arial" w:hAnsi="Arial" w:cs="Arial"/>
          <w:sz w:val="24"/>
          <w:szCs w:val="24"/>
        </w:rPr>
        <w:t>los instrumentos de planificación territorial consideran las particularidades de</w:t>
      </w:r>
      <w:r>
        <w:rPr>
          <w:rFonts w:ascii="Arial" w:hAnsi="Arial" w:cs="Arial"/>
          <w:sz w:val="24"/>
          <w:szCs w:val="24"/>
        </w:rPr>
        <w:t xml:space="preserve"> </w:t>
      </w:r>
      <w:r w:rsidRPr="00B1090F">
        <w:rPr>
          <w:rFonts w:ascii="Arial" w:hAnsi="Arial" w:cs="Arial"/>
          <w:sz w:val="24"/>
          <w:szCs w:val="24"/>
        </w:rPr>
        <w:t>estas formas de organización territorial, favoreciendo la transparencia y la</w:t>
      </w:r>
      <w:r>
        <w:rPr>
          <w:rFonts w:ascii="Arial" w:hAnsi="Arial" w:cs="Arial"/>
          <w:sz w:val="24"/>
          <w:szCs w:val="24"/>
        </w:rPr>
        <w:t xml:space="preserve"> </w:t>
      </w:r>
      <w:r w:rsidRPr="00B1090F">
        <w:rPr>
          <w:rFonts w:ascii="Arial" w:hAnsi="Arial" w:cs="Arial"/>
          <w:sz w:val="24"/>
          <w:szCs w:val="24"/>
        </w:rPr>
        <w:t>trazabilidad de las actuaciones administrativas, sin intervenir en las</w:t>
      </w:r>
      <w:r>
        <w:rPr>
          <w:rFonts w:ascii="Arial" w:hAnsi="Arial" w:cs="Arial"/>
          <w:sz w:val="24"/>
          <w:szCs w:val="24"/>
        </w:rPr>
        <w:t xml:space="preserve"> </w:t>
      </w:r>
      <w:r w:rsidRPr="00B1090F">
        <w:rPr>
          <w:rFonts w:ascii="Arial" w:hAnsi="Arial" w:cs="Arial"/>
          <w:sz w:val="24"/>
          <w:szCs w:val="24"/>
        </w:rPr>
        <w:t>competencias propias de las entidades responsables de su reconocimiento,</w:t>
      </w:r>
      <w:r>
        <w:rPr>
          <w:rFonts w:ascii="Arial" w:hAnsi="Arial" w:cs="Arial"/>
          <w:sz w:val="24"/>
          <w:szCs w:val="24"/>
        </w:rPr>
        <w:t xml:space="preserve"> </w:t>
      </w:r>
      <w:r w:rsidRPr="00B1090F">
        <w:rPr>
          <w:rFonts w:ascii="Arial" w:hAnsi="Arial" w:cs="Arial"/>
          <w:sz w:val="24"/>
          <w:szCs w:val="24"/>
        </w:rPr>
        <w:t>regulación o administración.</w:t>
      </w:r>
      <w:r>
        <w:rPr>
          <w:rFonts w:ascii="Arial" w:hAnsi="Arial" w:cs="Arial"/>
          <w:sz w:val="24"/>
          <w:szCs w:val="24"/>
        </w:rPr>
        <w:t xml:space="preserve"> </w:t>
      </w:r>
    </w:p>
    <w:p w:rsidR="00B61180" w:rsidP="00B61180" w:rsidRDefault="00B61180" w14:paraId="626DACB6" w14:textId="77777777">
      <w:pPr>
        <w:jc w:val="both"/>
        <w:rPr>
          <w:rFonts w:ascii="Arial" w:hAnsi="Arial" w:cs="Arial"/>
          <w:b/>
          <w:bCs/>
          <w:sz w:val="24"/>
          <w:szCs w:val="24"/>
        </w:rPr>
      </w:pPr>
      <w:r w:rsidRPr="1AB6159B">
        <w:rPr>
          <w:rFonts w:ascii="Arial" w:hAnsi="Arial" w:cs="Arial"/>
          <w:b/>
          <w:bCs/>
          <w:sz w:val="24"/>
          <w:szCs w:val="24"/>
        </w:rPr>
        <w:t>Ineludible 2. Lineamientos para los programas de reconversión y sustitución.</w:t>
      </w:r>
    </w:p>
    <w:p w:rsidRPr="00976492" w:rsidR="00B61180" w:rsidP="00B61180" w:rsidRDefault="00B61180" w14:paraId="2487A181" w14:textId="77777777">
      <w:pPr>
        <w:jc w:val="both"/>
        <w:rPr>
          <w:rFonts w:ascii="Arial" w:hAnsi="Arial" w:cs="Arial"/>
          <w:sz w:val="24"/>
          <w:szCs w:val="24"/>
        </w:rPr>
      </w:pPr>
      <w:r w:rsidRPr="00976492">
        <w:rPr>
          <w:rFonts w:ascii="Arial" w:hAnsi="Arial" w:cs="Arial"/>
          <w:sz w:val="24"/>
          <w:szCs w:val="24"/>
        </w:rPr>
        <w:t xml:space="preserve">Los programas de reconversión y sustitución de actividades constituyen uno de los principales instrumentos para armonizar la conservación del ecosistema de páramo con las condiciones sociales y productivas de las comunidades que tradicionalmente lo habitan. </w:t>
      </w:r>
    </w:p>
    <w:p w:rsidRPr="00976492" w:rsidR="00B61180" w:rsidP="00B61180" w:rsidRDefault="00B61180" w14:paraId="024B8E1C" w14:textId="77777777">
      <w:pPr>
        <w:jc w:val="both"/>
        <w:rPr>
          <w:rFonts w:ascii="Arial" w:hAnsi="Arial" w:cs="Arial"/>
          <w:sz w:val="24"/>
          <w:szCs w:val="24"/>
        </w:rPr>
      </w:pPr>
      <w:r w:rsidRPr="1AB6159B">
        <w:rPr>
          <w:rFonts w:ascii="Arial" w:hAnsi="Arial" w:cs="Arial"/>
          <w:sz w:val="24"/>
          <w:szCs w:val="24"/>
        </w:rPr>
        <w:t xml:space="preserve">En consecuencia, el sistema de fiscalización incorpora mecanismos de seguimiento y verificación orientados a hacer visible el estado de implementación de estos programas, en desarrollo de la función de fiscalización definida por la Sentencia T-361 de 2017 como la verificación del cumplimiento de las decisiones adoptadas. En este marco, el sistema realiza seguimiento a la implementación de los programas de reconversión y sustitución, verificando la ejecución de los compromisos institucionales derivados de la resolución de delimitación, particularmente en lo relacionado con la oferta de acompañamiento técnico, la articulación interinstitucional, la gestión de los recursos destinados a estos programas y la oportunidad de las actuaciones adelantadas por las entidades competentes. </w:t>
      </w:r>
    </w:p>
    <w:p w:rsidRPr="00976492" w:rsidR="00B61180" w:rsidP="00B61180" w:rsidRDefault="00B61180" w14:paraId="27977D26" w14:textId="77777777">
      <w:pPr>
        <w:jc w:val="both"/>
        <w:rPr>
          <w:rFonts w:ascii="Arial" w:hAnsi="Arial" w:cs="Arial"/>
          <w:sz w:val="24"/>
          <w:szCs w:val="24"/>
        </w:rPr>
      </w:pPr>
      <w:r w:rsidRPr="1AB6159B">
        <w:rPr>
          <w:rFonts w:ascii="Arial" w:hAnsi="Arial" w:cs="Arial"/>
          <w:sz w:val="24"/>
          <w:szCs w:val="24"/>
        </w:rPr>
        <w:t xml:space="preserve">El seguimiento del sistema se concentra, especialmente, en dos dimensiones complementarias. La primera corresponde a la articulación institucional. En este ámbito, el sistema verifica que las autoridades ambientales, las entidades territoriales, el Ministerio de Agricultura y Desarrollo Rural y las demás entidades competentes desarrollen de manera coordinada las acciones necesarias para acompañar los procesos de transformación productiva, evitando la fragmentación de la oferta institucional y favoreciendo una intervención integral que responda a las características ambientales, sociales y económicas del territorio. </w:t>
      </w:r>
    </w:p>
    <w:p w:rsidR="00B61180" w:rsidP="00B61180" w:rsidRDefault="00B61180" w14:paraId="79A8DE64" w14:textId="77777777">
      <w:pPr>
        <w:jc w:val="both"/>
        <w:rPr>
          <w:rFonts w:ascii="Arial" w:hAnsi="Arial" w:cs="Arial"/>
          <w:sz w:val="24"/>
          <w:szCs w:val="24"/>
        </w:rPr>
      </w:pPr>
      <w:r w:rsidRPr="1AB6159B">
        <w:rPr>
          <w:rFonts w:ascii="Arial" w:hAnsi="Arial" w:cs="Arial"/>
          <w:sz w:val="24"/>
          <w:szCs w:val="24"/>
        </w:rPr>
        <w:t xml:space="preserve">La segunda corresponde a la participación efectiva de las comunidades. En desarrollo de la Sentencia T-361 de 2017, el sistema verifica que los programas de reconversión y sustitución se implementen garantizando espacios de participación, diálogo y concertación con las comunidades directamente involucradas, de manera que las medidas adoptadas respondan a las condiciones reales del territorio, reconozcan las dinámicas productivas existentes y fortalezcan la apropiación social de los procesos de transformación. </w:t>
      </w:r>
    </w:p>
    <w:p w:rsidR="00B61180" w:rsidP="00B61180" w:rsidRDefault="00B61180" w14:paraId="5E688D06" w14:textId="77777777">
      <w:pPr>
        <w:jc w:val="both"/>
        <w:rPr>
          <w:rFonts w:ascii="Arial" w:hAnsi="Arial" w:cs="Arial"/>
          <w:sz w:val="24"/>
          <w:szCs w:val="24"/>
        </w:rPr>
      </w:pPr>
      <w:r w:rsidRPr="1AB6159B">
        <w:rPr>
          <w:rFonts w:ascii="Arial" w:hAnsi="Arial" w:cs="Arial"/>
          <w:sz w:val="24"/>
          <w:szCs w:val="24"/>
        </w:rPr>
        <w:t xml:space="preserve">En ningún caso el sistema sustituye las competencias técnicas de las entidades responsables del diseño, formulación, ejecución o evaluación de los programas de reconversión y sustitución, ni realiza valoraciones sobre la eficacia técnica o ambiental de las medidas implementadas. Tales funciones corresponden a las autoridades competentes y a los instrumentos de planificación y manejo previstos en la legislación ambiental. </w:t>
      </w:r>
    </w:p>
    <w:p w:rsidRPr="00976492" w:rsidR="00B61180" w:rsidP="00B61180" w:rsidRDefault="00B61180" w14:paraId="6BF71231" w14:textId="77777777">
      <w:pPr>
        <w:jc w:val="both"/>
      </w:pPr>
      <w:r w:rsidRPr="1AB6159B">
        <w:rPr>
          <w:rFonts w:ascii="Arial" w:hAnsi="Arial" w:cs="Arial"/>
          <w:sz w:val="24"/>
          <w:szCs w:val="24"/>
        </w:rPr>
        <w:t xml:space="preserve">La función del sistema consiste en registrar, sistematizar y hacer trazable la información relacionada con la implementación de estos programas, verificando el cumplimiento de los compromisos institucionales asumidos, facilitando el acceso de las comunidades a dicha información y fortaleciendo la transparencia, la rendición de cuentas y el control social sobre la ejecución de las decisiones incorporadas en la resolución de delimitación. </w:t>
      </w:r>
    </w:p>
    <w:p w:rsidRPr="00976492" w:rsidR="00B61180" w:rsidP="00B61180" w:rsidRDefault="00B61180" w14:paraId="0081DB0A" w14:textId="77777777">
      <w:pPr>
        <w:jc w:val="both"/>
      </w:pPr>
      <w:r w:rsidRPr="1AB6159B">
        <w:rPr>
          <w:rFonts w:ascii="Arial" w:hAnsi="Arial" w:cs="Arial"/>
          <w:sz w:val="24"/>
          <w:szCs w:val="24"/>
        </w:rPr>
        <w:t>Finalmente, el sistema promoverá que la información derivada del seguimiento a los programas de reconversión y sustitución sea puesta a disposición de la Instancia de Coordinación, con el fin de facilitar la adopción de decisiones informadas, identificar oportunamente dificultades en su implementación y fortalecer la coordinación entre las entidades competentes, sin interferir en las competencias que el ordenamiento jurídico atribuye a cada una de ellas.</w:t>
      </w:r>
    </w:p>
    <w:p w:rsidR="00B61180" w:rsidP="00B61180" w:rsidRDefault="00B61180" w14:paraId="10BCBE37" w14:textId="77777777">
      <w:pPr>
        <w:jc w:val="both"/>
        <w:rPr>
          <w:rFonts w:ascii="Arial" w:hAnsi="Arial" w:cs="Arial"/>
          <w:b/>
          <w:bCs/>
          <w:sz w:val="24"/>
          <w:szCs w:val="24"/>
        </w:rPr>
      </w:pPr>
      <w:r w:rsidRPr="1AB6159B">
        <w:rPr>
          <w:rFonts w:ascii="Arial" w:hAnsi="Arial" w:cs="Arial"/>
          <w:b/>
          <w:bCs/>
          <w:sz w:val="24"/>
          <w:szCs w:val="24"/>
        </w:rPr>
        <w:t xml:space="preserve">Ineludible 3. Sistema de fiscalización. </w:t>
      </w:r>
    </w:p>
    <w:p w:rsidR="00B61180" w:rsidP="00B61180" w:rsidRDefault="00B61180" w14:paraId="33DA0492" w14:textId="77777777">
      <w:pPr>
        <w:jc w:val="both"/>
        <w:rPr>
          <w:rFonts w:ascii="Arial" w:hAnsi="Arial" w:cs="Arial"/>
          <w:sz w:val="24"/>
          <w:szCs w:val="24"/>
        </w:rPr>
      </w:pPr>
      <w:r w:rsidRPr="1AB6159B">
        <w:rPr>
          <w:rFonts w:ascii="Arial" w:hAnsi="Arial" w:cs="Arial"/>
          <w:sz w:val="24"/>
          <w:szCs w:val="24"/>
        </w:rPr>
        <w:t xml:space="preserve">El sistema de fiscalización incorpora un ciclo permanente de verificación, evaluación y mejora continua, orientado a garantizar el cumplimiento del mandato previsto en la Sentencia T-361 de 2017 y a fortalecer, durante toda la implementación de la resolución de delimitación, la capacidad del Sistema para verificar el estado de implementación de las decisiones adoptadas. </w:t>
      </w:r>
    </w:p>
    <w:p w:rsidR="00B61180" w:rsidP="00B61180" w:rsidRDefault="00B61180" w14:paraId="4DEE2A0B" w14:textId="77777777">
      <w:pPr>
        <w:jc w:val="both"/>
        <w:rPr>
          <w:rFonts w:ascii="Arial" w:hAnsi="Arial" w:cs="Arial"/>
          <w:sz w:val="24"/>
          <w:szCs w:val="24"/>
        </w:rPr>
      </w:pPr>
      <w:r w:rsidRPr="1AB6159B">
        <w:rPr>
          <w:rFonts w:ascii="Arial" w:hAnsi="Arial" w:cs="Arial"/>
          <w:sz w:val="24"/>
          <w:szCs w:val="24"/>
        </w:rPr>
        <w:t xml:space="preserve">La verificación que desarrolla el Sistema no implica el ejercicio de funciones de inspección, vigilancia, control o sanción, ni sustituye las competencias atribuidas por la Constitución Política y la ley a las autoridades públicas. Dicha verificación se materializa mediante la gestión integral de la información, la articulación institucional, la trazabilidad de las actuaciones, la transparencia, la participación efectiva de las comunidades, la rendición de cuentas y la evaluación permanente del funcionamiento del propio Sistema. </w:t>
      </w:r>
    </w:p>
    <w:p w:rsidR="00B61180" w:rsidP="00B61180" w:rsidRDefault="00B61180" w14:paraId="44CFD7C0" w14:textId="77777777">
      <w:pPr>
        <w:jc w:val="both"/>
        <w:rPr>
          <w:rFonts w:ascii="Arial" w:hAnsi="Arial" w:cs="Arial"/>
          <w:sz w:val="24"/>
          <w:szCs w:val="24"/>
        </w:rPr>
      </w:pPr>
      <w:r w:rsidRPr="1AB6159B">
        <w:rPr>
          <w:rFonts w:ascii="Arial" w:hAnsi="Arial" w:cs="Arial"/>
          <w:sz w:val="24"/>
          <w:szCs w:val="24"/>
        </w:rPr>
        <w:t xml:space="preserve">Con este propósito, el sistema consolida la información reportada por las autoridades ambientales, las entidades territoriales, las demás entidades que lo integran y las comunidades, permitiendo verificar el estado general de implementación de la resolución de delimitación, la atención de las alertas, la gestión de las actuaciones institucionales, el avance de los compromisos derivados del proceso participativo y el funcionamiento de los mecanismos de articulación previstos en el presente </w:t>
      </w:r>
      <w:r w:rsidRPr="1AB6159B">
        <w:rPr>
          <w:rFonts w:ascii="Arial" w:hAnsi="Arial" w:cs="Arial"/>
          <w:sz w:val="24"/>
          <w:szCs w:val="24"/>
        </w:rPr>
        <w:t xml:space="preserve">documento. La información consolidada constituye el principal insumo para el funcionamiento de la Instancia de Coordinación, la cual consolidará los reportes periódicos y el Balance Anual del Sistema conforme a los lineamientos establecidos en el Protocolo Operativo. </w:t>
      </w:r>
    </w:p>
    <w:p w:rsidR="00B61180" w:rsidP="00B61180" w:rsidRDefault="00B61180" w14:paraId="7494CA8C" w14:textId="77777777">
      <w:pPr>
        <w:jc w:val="both"/>
        <w:rPr>
          <w:rFonts w:ascii="Arial" w:hAnsi="Arial" w:cs="Arial"/>
          <w:sz w:val="24"/>
          <w:szCs w:val="24"/>
        </w:rPr>
      </w:pPr>
      <w:r w:rsidRPr="1AB6159B">
        <w:rPr>
          <w:rFonts w:ascii="Arial" w:hAnsi="Arial" w:cs="Arial"/>
          <w:sz w:val="24"/>
          <w:szCs w:val="24"/>
        </w:rPr>
        <w:t xml:space="preserve">En cada sesión ordinaria de la Instancia, dicha información será objeto de verificación colegiada, con el fin de formular observaciones, solicitar las aclaraciones que resulten necesarias y orientar las acciones de mejora que fortalezcan progresivamente el funcionamiento del Sistema, respetando en todo momento las competencias propias de las entidades responsables de la información reportada. Los resultados de este proceso serán divulgados mediante los mecanismos de transparencia definidos por la Instancia de Coordinación, con el propósito de garantizar el acceso a la información, fortalecer la rendición de cuentas, facilitar el ejercicio del control social y promover una participación informada de las comunidades durante la implementación de la resolución. </w:t>
      </w:r>
    </w:p>
    <w:p w:rsidR="00B61180" w:rsidP="00B61180" w:rsidRDefault="00B61180" w14:paraId="0B2B48FC" w14:textId="77777777">
      <w:pPr>
        <w:jc w:val="both"/>
        <w:rPr>
          <w:rFonts w:ascii="Arial" w:hAnsi="Arial" w:cs="Arial"/>
          <w:sz w:val="24"/>
          <w:szCs w:val="24"/>
        </w:rPr>
      </w:pPr>
      <w:r w:rsidRPr="1AB6159B">
        <w:rPr>
          <w:rFonts w:ascii="Arial" w:hAnsi="Arial" w:cs="Arial"/>
          <w:sz w:val="24"/>
          <w:szCs w:val="24"/>
        </w:rPr>
        <w:t xml:space="preserve">El sistema reconoce que su eficacia depende de la calidad, oportunidad y confiabilidad de la información que lo alimenta, así como de la articulación permanente entre las autoridades públicas, las entidades territoriales, las comunidades y los demás actores que participan en su operación. De igual manera, reconoce que la confianza entre las instituciones y las comunidades constituye un elemento esencial para su sostenibilidad, razón por la cual promueve una gestión basada en la transparencia, la corresponsabilidad, la publicidad de la información y la respuesta oportuna a las alertas y reportes incorporados al sistema. </w:t>
      </w:r>
    </w:p>
    <w:p w:rsidR="00B61180" w:rsidP="00B61180" w:rsidRDefault="00B61180" w14:paraId="169BA339" w14:textId="77777777">
      <w:pPr>
        <w:jc w:val="both"/>
        <w:rPr>
          <w:rFonts w:ascii="Arial" w:hAnsi="Arial" w:cs="Arial"/>
          <w:sz w:val="24"/>
          <w:szCs w:val="24"/>
        </w:rPr>
      </w:pPr>
      <w:r w:rsidRPr="1AB6159B">
        <w:rPr>
          <w:rFonts w:ascii="Arial" w:hAnsi="Arial" w:cs="Arial"/>
          <w:sz w:val="24"/>
          <w:szCs w:val="24"/>
        </w:rPr>
        <w:t>Así mismo, el Sistema tiene un carácter dinámico y adaptativo. Su diseño responde a las capacidades institucionales existentes al momento de la adopción de la resolución; sin embargo, podrá fortalecerse progresivamente mediante los ajustes que, con fundamento en los resultados de la evaluación periódica, adopte la Instancia de Coordinación en desarrollo de sus funciones de gobernanza, así como por la consolidación de nuevos mecanismos de articulación institucional, la implementación de los demás componentes de la resolución de delimitación, el fortalecimiento de los procesos de participación ciudadana y la disponibilidad de nuevas fuentes de financiación.</w:t>
      </w:r>
    </w:p>
    <w:p w:rsidR="00B61180" w:rsidP="00B61180" w:rsidRDefault="00B61180" w14:paraId="6BD1739B" w14:textId="77777777">
      <w:pPr>
        <w:jc w:val="both"/>
        <w:rPr>
          <w:rFonts w:ascii="Arial" w:hAnsi="Arial" w:cs="Arial"/>
          <w:sz w:val="24"/>
          <w:szCs w:val="24"/>
        </w:rPr>
      </w:pPr>
      <w:r w:rsidRPr="1AB6159B">
        <w:rPr>
          <w:rFonts w:ascii="Arial" w:hAnsi="Arial" w:cs="Arial"/>
          <w:sz w:val="24"/>
          <w:szCs w:val="24"/>
        </w:rPr>
        <w:t xml:space="preserve">Con el fin de garantizar un proceso permanente la mejora continua constituye un principio transversal del sistema de fiscalización y se desarrolla mediante un proceso permanente de aprendizaje institucional y social, sustentado en la verificación del estado de implementación de la resolución, la gestión integral de la información, la coordinación interinstitucional y la participación efectiva de las comunidades. De esta manera, el Sistema fortalece la gobernanza ambiental del complejo de páramos Santurbán-Berlín y contribuye al cumplimiento del mandato establecido por la </w:t>
      </w:r>
      <w:r w:rsidRPr="1AB6159B">
        <w:rPr>
          <w:rFonts w:ascii="Arial" w:hAnsi="Arial" w:cs="Arial"/>
          <w:sz w:val="24"/>
          <w:szCs w:val="24"/>
        </w:rPr>
        <w:t>Sentencia T-361 de 2017 durante toda la implementación de la resolución de delimitación.</w:t>
      </w:r>
    </w:p>
    <w:p w:rsidR="00B61180" w:rsidP="00B61180" w:rsidRDefault="00B61180" w14:paraId="5D4D0076" w14:textId="77777777">
      <w:pPr>
        <w:jc w:val="both"/>
        <w:rPr>
          <w:rFonts w:ascii="Arial" w:hAnsi="Arial" w:cs="Arial"/>
          <w:b/>
          <w:bCs/>
          <w:sz w:val="24"/>
          <w:szCs w:val="24"/>
        </w:rPr>
      </w:pPr>
      <w:r w:rsidRPr="1AB6159B">
        <w:rPr>
          <w:rFonts w:ascii="Arial" w:hAnsi="Arial" w:cs="Arial"/>
          <w:b/>
          <w:bCs/>
          <w:sz w:val="24"/>
          <w:szCs w:val="24"/>
        </w:rPr>
        <w:t>Ineludible 4. Parámetros de protección de fuentes hídricas.</w:t>
      </w:r>
    </w:p>
    <w:p w:rsidRPr="00976492" w:rsidR="00B61180" w:rsidP="00B61180" w:rsidRDefault="00B61180" w14:paraId="6E179225" w14:textId="77777777">
      <w:pPr>
        <w:jc w:val="both"/>
        <w:rPr>
          <w:rFonts w:ascii="Arial" w:hAnsi="Arial" w:cs="Arial"/>
          <w:sz w:val="24"/>
          <w:szCs w:val="24"/>
        </w:rPr>
      </w:pPr>
      <w:r w:rsidRPr="00AA036C">
        <w:rPr>
          <w:rFonts w:ascii="Arial" w:hAnsi="Arial" w:cs="Arial"/>
          <w:sz w:val="24"/>
          <w:szCs w:val="24"/>
        </w:rPr>
        <w:t>La protección del recurso hídrico constituye uno de los objetivos esenciales de la</w:t>
      </w:r>
      <w:r>
        <w:rPr>
          <w:rFonts w:ascii="Arial" w:hAnsi="Arial" w:cs="Arial"/>
          <w:sz w:val="24"/>
          <w:szCs w:val="24"/>
        </w:rPr>
        <w:t xml:space="preserve"> </w:t>
      </w:r>
      <w:r w:rsidRPr="00AA036C">
        <w:rPr>
          <w:rFonts w:ascii="Arial" w:hAnsi="Arial" w:cs="Arial"/>
          <w:sz w:val="24"/>
          <w:szCs w:val="24"/>
        </w:rPr>
        <w:t>delimitación del páramo, en atención a la función estratégica que estos</w:t>
      </w:r>
      <w:r>
        <w:rPr>
          <w:rFonts w:ascii="Arial" w:hAnsi="Arial" w:cs="Arial"/>
          <w:sz w:val="24"/>
          <w:szCs w:val="24"/>
        </w:rPr>
        <w:t xml:space="preserve"> </w:t>
      </w:r>
      <w:r w:rsidRPr="00AA036C">
        <w:rPr>
          <w:rFonts w:ascii="Arial" w:hAnsi="Arial" w:cs="Arial"/>
          <w:sz w:val="24"/>
          <w:szCs w:val="24"/>
        </w:rPr>
        <w:t>ecosistemas cumplen en la regulación hídrica, la conservación de la</w:t>
      </w:r>
      <w:r>
        <w:rPr>
          <w:rFonts w:ascii="Arial" w:hAnsi="Arial" w:cs="Arial"/>
          <w:sz w:val="24"/>
          <w:szCs w:val="24"/>
        </w:rPr>
        <w:t xml:space="preserve"> </w:t>
      </w:r>
      <w:r w:rsidRPr="00AA036C">
        <w:rPr>
          <w:rFonts w:ascii="Arial" w:hAnsi="Arial" w:cs="Arial"/>
          <w:sz w:val="24"/>
          <w:szCs w:val="24"/>
        </w:rPr>
        <w:t>biodiversidad y la garantía del derecho colectivo a un ambiente sano. En</w:t>
      </w:r>
      <w:r>
        <w:rPr>
          <w:rFonts w:ascii="Arial" w:hAnsi="Arial" w:cs="Arial"/>
          <w:sz w:val="24"/>
          <w:szCs w:val="24"/>
        </w:rPr>
        <w:t xml:space="preserve"> </w:t>
      </w:r>
      <w:r w:rsidRPr="00AA036C">
        <w:rPr>
          <w:rFonts w:ascii="Arial" w:hAnsi="Arial" w:cs="Arial"/>
          <w:sz w:val="24"/>
          <w:szCs w:val="24"/>
        </w:rPr>
        <w:t>consecuencia, el Sistema de Fiscalización incorpora mecanismos de seguimiento,</w:t>
      </w:r>
      <w:r>
        <w:rPr>
          <w:rFonts w:ascii="Arial" w:hAnsi="Arial" w:cs="Arial"/>
          <w:sz w:val="24"/>
          <w:szCs w:val="24"/>
        </w:rPr>
        <w:t xml:space="preserve"> </w:t>
      </w:r>
      <w:r w:rsidRPr="00AA036C">
        <w:rPr>
          <w:rFonts w:ascii="Arial" w:hAnsi="Arial" w:cs="Arial"/>
          <w:sz w:val="24"/>
          <w:szCs w:val="24"/>
        </w:rPr>
        <w:t>verificación, articulación institucional y control social orientados a fortalecer la</w:t>
      </w:r>
      <w:r>
        <w:rPr>
          <w:rFonts w:ascii="Arial" w:hAnsi="Arial" w:cs="Arial"/>
          <w:sz w:val="24"/>
          <w:szCs w:val="24"/>
        </w:rPr>
        <w:t xml:space="preserve"> </w:t>
      </w:r>
      <w:r w:rsidRPr="00AA036C">
        <w:rPr>
          <w:rFonts w:ascii="Arial" w:hAnsi="Arial" w:cs="Arial"/>
          <w:sz w:val="24"/>
          <w:szCs w:val="24"/>
        </w:rPr>
        <w:t xml:space="preserve">implementación de las </w:t>
      </w:r>
      <w:r w:rsidRPr="00976492">
        <w:rPr>
          <w:rFonts w:ascii="Arial" w:hAnsi="Arial" w:cs="Arial"/>
          <w:sz w:val="24"/>
          <w:szCs w:val="24"/>
        </w:rPr>
        <w:t xml:space="preserve">decisiones adoptadas en la resolución de delimitación, en desarrollo de la fase de fiscalización prevista por la Sentencia T-361 de 2017, entendida como la verificación del cumplimiento de las decisiones tomadas. </w:t>
      </w:r>
    </w:p>
    <w:p w:rsidR="00B61180" w:rsidP="00B61180" w:rsidRDefault="00B61180" w14:paraId="194E8922" w14:textId="77777777">
      <w:pPr>
        <w:jc w:val="both"/>
        <w:rPr>
          <w:rFonts w:ascii="Arial" w:hAnsi="Arial" w:cs="Arial"/>
          <w:sz w:val="24"/>
          <w:szCs w:val="24"/>
        </w:rPr>
      </w:pPr>
      <w:r w:rsidRPr="1AB6159B">
        <w:rPr>
          <w:rFonts w:ascii="Arial" w:hAnsi="Arial" w:cs="Arial"/>
          <w:sz w:val="24"/>
          <w:szCs w:val="24"/>
        </w:rPr>
        <w:t xml:space="preserve">Durante el proceso participativo, este ha sido uno de los temas que concentra el mayor número de observaciones, preocupaciones y propuestas por parte de las comunidades, evidenciando que la protección de las fuentes hídricas involucra competencias concurrentes de diversas autoridades ambientales, territoriales y sectoriales. En atención a esta realidad, el Sistema reconoce dicha complejidad institucional y orienta su actuación al fortalecimiento de la coordinación interinstitucional, la trazabilidad de las actuaciones administrativas, la transparencia de la gestión pública y el ejercicio del control social por parte de las comunidades, sin sustituir las competencias constitucionales y legales asignadas a las autoridades responsables de la administración, protección, vigilancia y control del recurso hídrico. En desarrollo de este propósito, el Sistema articula su actuación en torno a las siguientes líneas de acción: </w:t>
      </w:r>
    </w:p>
    <w:p w:rsidRPr="0027222B" w:rsidR="00B61180" w:rsidP="00B61180" w:rsidRDefault="00B61180" w14:paraId="74EFA235" w14:textId="77777777">
      <w:pPr>
        <w:pStyle w:val="Prrafodelista"/>
        <w:numPr>
          <w:ilvl w:val="0"/>
          <w:numId w:val="35"/>
        </w:numPr>
        <w:jc w:val="both"/>
        <w:rPr>
          <w:rFonts w:ascii="Arial" w:hAnsi="Arial" w:cs="Arial"/>
          <w:b/>
          <w:bCs/>
          <w:sz w:val="24"/>
          <w:szCs w:val="24"/>
        </w:rPr>
      </w:pPr>
      <w:r w:rsidRPr="0027222B">
        <w:rPr>
          <w:rFonts w:ascii="Arial" w:hAnsi="Arial" w:cs="Arial"/>
          <w:b/>
          <w:bCs/>
          <w:sz w:val="24"/>
          <w:szCs w:val="24"/>
        </w:rPr>
        <w:t xml:space="preserve">Seguimiento y verificación de las actuaciones institucionales sobre la protección del recurso hídrico </w:t>
      </w:r>
    </w:p>
    <w:p w:rsidR="00B61180" w:rsidP="00B61180" w:rsidRDefault="00B61180" w14:paraId="282EC8B0" w14:textId="77777777">
      <w:pPr>
        <w:jc w:val="both"/>
        <w:rPr>
          <w:rFonts w:ascii="Arial" w:hAnsi="Arial" w:cs="Arial"/>
          <w:sz w:val="24"/>
          <w:szCs w:val="24"/>
        </w:rPr>
      </w:pPr>
      <w:r w:rsidRPr="1AB6159B">
        <w:rPr>
          <w:rFonts w:ascii="Arial" w:hAnsi="Arial" w:cs="Arial"/>
          <w:sz w:val="24"/>
          <w:szCs w:val="24"/>
        </w:rPr>
        <w:t xml:space="preserve">El Sistema registra y hace seguimiento a las actuaciones adelantadas por las autoridades ambientales competentes respecto de las situaciones que puedan afectar las fuentes hídricas dentro del área delimitada, consolidando información sobre las alertas recibidas, las actuaciones desarrolladas, los traslados efectuados y el estado de las respuestas institucionales. Este seguimiento tiene una finalidad exclusivamente verificadora, orientada a fortalecer la transparencia administrativa, facilitar el acceso de las comunidades a la información pública ambiental y promover el ejercicio del control social, sin interferir en las funciones de inspección, vigilancia, control o sanción atribuidas por el ordenamiento jurídico a las autoridades competentes. </w:t>
      </w:r>
    </w:p>
    <w:p w:rsidRPr="0027222B" w:rsidR="00B61180" w:rsidP="00B61180" w:rsidRDefault="00B61180" w14:paraId="25D5BE1D" w14:textId="77777777">
      <w:pPr>
        <w:pStyle w:val="Prrafodelista"/>
        <w:numPr>
          <w:ilvl w:val="0"/>
          <w:numId w:val="35"/>
        </w:numPr>
        <w:jc w:val="both"/>
        <w:rPr>
          <w:rFonts w:ascii="Arial" w:hAnsi="Arial" w:cs="Arial"/>
          <w:b/>
          <w:bCs/>
          <w:sz w:val="24"/>
          <w:szCs w:val="24"/>
        </w:rPr>
      </w:pPr>
      <w:r w:rsidRPr="0027222B">
        <w:rPr>
          <w:rFonts w:ascii="Arial" w:hAnsi="Arial" w:cs="Arial"/>
          <w:b/>
          <w:bCs/>
          <w:sz w:val="24"/>
          <w:szCs w:val="24"/>
        </w:rPr>
        <w:t xml:space="preserve">Seguimiento a la implementación de los parámetros de protección hídrica </w:t>
      </w:r>
    </w:p>
    <w:p w:rsidR="00B61180" w:rsidP="00B61180" w:rsidRDefault="00B61180" w14:paraId="13EB1E87" w14:textId="77777777">
      <w:pPr>
        <w:jc w:val="both"/>
        <w:rPr>
          <w:rFonts w:ascii="Arial" w:hAnsi="Arial" w:cs="Arial"/>
          <w:sz w:val="24"/>
          <w:szCs w:val="24"/>
        </w:rPr>
      </w:pPr>
      <w:r w:rsidRPr="1AB6159B">
        <w:rPr>
          <w:rFonts w:ascii="Arial" w:hAnsi="Arial" w:cs="Arial"/>
          <w:sz w:val="24"/>
          <w:szCs w:val="24"/>
        </w:rPr>
        <w:t xml:space="preserve">El sistema realiza seguimiento a la incorporación progresiva de los parámetros de protección hídrica construidos durante el proceso participativo en los instrumentos de planificación, manejo y ordenamiento ambiental y territorial aplicables al complejo de páramos Santurbán-Berlín, particularmente en los Planes de Ordenación y Manejo de Cuencas Hidrográficas (POMCA), los planes de manejo del páramo y los instrumentos de ordenamiento territorial de las entidades con jurisdicción en el área. </w:t>
      </w:r>
    </w:p>
    <w:p w:rsidR="00B61180" w:rsidP="00B61180" w:rsidRDefault="00B61180" w14:paraId="3DFED92A" w14:textId="77777777">
      <w:pPr>
        <w:jc w:val="both"/>
        <w:rPr>
          <w:rFonts w:ascii="Arial" w:hAnsi="Arial" w:cs="Arial"/>
          <w:sz w:val="24"/>
          <w:szCs w:val="24"/>
        </w:rPr>
      </w:pPr>
      <w:r w:rsidRPr="1AB6159B">
        <w:rPr>
          <w:rFonts w:ascii="Arial" w:hAnsi="Arial" w:cs="Arial"/>
          <w:sz w:val="24"/>
          <w:szCs w:val="24"/>
        </w:rPr>
        <w:t xml:space="preserve">Este seguimiento tiene como finalidad generar información verificable sobre el nivel de implementación de dichos parámetros, facilitar la coordinación entre las entidades competentes y poner dicha información a disposición de las comunidades y de la Instancia de Coordinación para fortalecer el seguimiento participativo de la resolución de delimitación. </w:t>
      </w:r>
    </w:p>
    <w:p w:rsidRPr="0027222B" w:rsidR="00B61180" w:rsidP="00B61180" w:rsidRDefault="00B61180" w14:paraId="74DDFBF8" w14:textId="77777777">
      <w:pPr>
        <w:pStyle w:val="Prrafodelista"/>
        <w:numPr>
          <w:ilvl w:val="0"/>
          <w:numId w:val="35"/>
        </w:numPr>
        <w:jc w:val="both"/>
        <w:rPr>
          <w:rFonts w:ascii="Arial" w:hAnsi="Arial" w:cs="Arial"/>
          <w:b/>
          <w:bCs/>
          <w:sz w:val="24"/>
          <w:szCs w:val="24"/>
        </w:rPr>
      </w:pPr>
      <w:r w:rsidRPr="0027222B">
        <w:rPr>
          <w:rFonts w:ascii="Arial" w:hAnsi="Arial" w:cs="Arial"/>
          <w:b/>
          <w:bCs/>
          <w:sz w:val="24"/>
          <w:szCs w:val="24"/>
        </w:rPr>
        <w:t xml:space="preserve">Articulación institucional y trazabilidad de las alertas </w:t>
      </w:r>
    </w:p>
    <w:p w:rsidR="00B61180" w:rsidP="00B61180" w:rsidRDefault="00B61180" w14:paraId="03183F86" w14:textId="77777777">
      <w:pPr>
        <w:jc w:val="both"/>
        <w:rPr>
          <w:rFonts w:ascii="Arial" w:hAnsi="Arial" w:cs="Arial"/>
          <w:sz w:val="24"/>
          <w:szCs w:val="24"/>
        </w:rPr>
      </w:pPr>
      <w:r w:rsidRPr="1AB6159B">
        <w:rPr>
          <w:rFonts w:ascii="Arial" w:hAnsi="Arial" w:cs="Arial"/>
          <w:sz w:val="24"/>
          <w:szCs w:val="24"/>
        </w:rPr>
        <w:t xml:space="preserve">Cuando las alertas formuladas por las comunidades o por cualquier otro actor correspondan a competencias de diferentes autoridades públicas o excedan la competencia de la entidad que inicialmente las reciba, el sistema facilitará la trazabilidad de las actuaciones administrativas mediante el registro y seguimiento de los traslados efectuados, promoviendo la coordinación entre las entidades competentes y la publicidad del estado de dichas actuaciones. En este contexto, el sistema no resuelve directamente las problemáticas relacionadas con la protección del recurso hídrico ni sustituye las actuaciones administrativas que corresponden a cada autoridad. </w:t>
      </w:r>
    </w:p>
    <w:p w:rsidR="00B61180" w:rsidP="00B61180" w:rsidRDefault="00B61180" w14:paraId="5449B6D8" w14:textId="77777777">
      <w:pPr>
        <w:jc w:val="both"/>
        <w:rPr>
          <w:rFonts w:ascii="Arial" w:hAnsi="Arial" w:cs="Arial"/>
          <w:sz w:val="24"/>
          <w:szCs w:val="24"/>
        </w:rPr>
      </w:pPr>
      <w:r w:rsidRPr="1AB6159B">
        <w:rPr>
          <w:rFonts w:ascii="Arial" w:hAnsi="Arial" w:cs="Arial"/>
          <w:sz w:val="24"/>
          <w:szCs w:val="24"/>
        </w:rPr>
        <w:t xml:space="preserve">Su función consiste en garantizar que las alertas sean registradas, trasladadas cuando corresponda, incorporadas a los mecanismos de seguimiento y mantenidas dentro de un esquema permanente de trazabilidad, publicidad y rendición de cuentas que permita conocer el estado de las actuaciones institucionales. </w:t>
      </w:r>
    </w:p>
    <w:p w:rsidRPr="0027222B" w:rsidR="00B61180" w:rsidP="00B61180" w:rsidRDefault="00B61180" w14:paraId="2AF85B08" w14:textId="77777777">
      <w:pPr>
        <w:pStyle w:val="Prrafodelista"/>
        <w:numPr>
          <w:ilvl w:val="0"/>
          <w:numId w:val="35"/>
        </w:numPr>
        <w:jc w:val="both"/>
        <w:rPr>
          <w:rFonts w:ascii="Arial" w:hAnsi="Arial" w:cs="Arial"/>
          <w:b/>
          <w:bCs/>
          <w:sz w:val="24"/>
          <w:szCs w:val="24"/>
        </w:rPr>
      </w:pPr>
      <w:r w:rsidRPr="0027222B">
        <w:rPr>
          <w:rFonts w:ascii="Arial" w:hAnsi="Arial" w:cs="Arial"/>
          <w:b/>
          <w:bCs/>
          <w:sz w:val="24"/>
          <w:szCs w:val="24"/>
        </w:rPr>
        <w:t xml:space="preserve">Fortalecimiento del control social ambiental </w:t>
      </w:r>
    </w:p>
    <w:p w:rsidRPr="00976492" w:rsidR="00B61180" w:rsidP="00B61180" w:rsidRDefault="00B61180" w14:paraId="14C9153B" w14:textId="77777777">
      <w:pPr>
        <w:jc w:val="both"/>
        <w:rPr>
          <w:rFonts w:ascii="Arial" w:hAnsi="Arial" w:cs="Arial"/>
          <w:sz w:val="24"/>
          <w:szCs w:val="24"/>
        </w:rPr>
      </w:pPr>
      <w:r w:rsidRPr="1AB6159B">
        <w:rPr>
          <w:rFonts w:ascii="Arial" w:hAnsi="Arial" w:cs="Arial"/>
          <w:sz w:val="24"/>
          <w:szCs w:val="24"/>
        </w:rPr>
        <w:t xml:space="preserve">En armonía con la Sentencia T-361 de 2017, la Ley 1757 de 2015, la Ley 850 de 2003 y el Acuerdo de Escazú, el sistema reconoce el control social como uno de los componentes esenciales de la fase de fiscalización y como una manifestación del derecho de participación de las comunidades en la gestión ambiental. En consecuencia, la información derivada del seguimiento institucional será puesta a disposición de las comunidades, organizaciones sociales y demás integrantes de la Instancia de Coordinación mediante mecanismos de acceso a la información, transparencia y rendición de cuentas, de manera que puedan verificar el cumplimiento de los compromisos derivados de la resolución de delimitación, </w:t>
      </w:r>
      <w:r w:rsidRPr="1AB6159B">
        <w:rPr>
          <w:rFonts w:ascii="Arial" w:hAnsi="Arial" w:cs="Arial"/>
          <w:sz w:val="24"/>
          <w:szCs w:val="24"/>
        </w:rPr>
        <w:t>formular observaciones, realizar seguimiento a la gestión de las autoridades competentes y contribuir, desde el ejercicio del control social, a la protección efectiva de las fuentes hídricas del páramo.</w:t>
      </w:r>
    </w:p>
    <w:p w:rsidRPr="00976492" w:rsidR="00B61180" w:rsidP="00B61180" w:rsidRDefault="00B61180" w14:paraId="01402B50" w14:textId="77777777">
      <w:pPr>
        <w:jc w:val="both"/>
        <w:rPr>
          <w:rFonts w:ascii="Arial" w:hAnsi="Arial" w:cs="Arial"/>
          <w:sz w:val="24"/>
          <w:szCs w:val="24"/>
        </w:rPr>
      </w:pPr>
      <w:r w:rsidRPr="1AB6159B">
        <w:rPr>
          <w:rFonts w:ascii="Arial" w:hAnsi="Arial" w:cs="Arial"/>
          <w:sz w:val="24"/>
          <w:szCs w:val="24"/>
        </w:rPr>
        <w:t>El ejercicio de este control social no sustituye las competencias administrativas de las autoridades públicas, sino que fortalece la gobernanza ambiental, promueve la transparencia institucional y materializa el modelo de participación permanente previsto por la Corte Constitucional para la fase de fiscalización. Finalmente, la implementación de este ineludible se desarrollará bajo los principios constitucionales de coordinación, concurrencia, colaboración armónica, transparencia, participación ciudadana, acceso a la información ambiental y responsabilidad compartida, reconociendo que la protección del recurso hídrico constituye una obligación común del Estado y de la sociedad, cuya efectividad depende de la adecuada articulación entre las instituciones competentes y del ejercicio permanente del control social por parte de las comunidades que habitan y protegen el páramo.</w:t>
      </w:r>
    </w:p>
    <w:p w:rsidR="00B61180" w:rsidP="00B61180" w:rsidRDefault="00B61180" w14:paraId="15CA5C5B" w14:textId="77777777">
      <w:pPr>
        <w:jc w:val="both"/>
        <w:rPr>
          <w:rFonts w:ascii="Arial" w:hAnsi="Arial" w:cs="Arial"/>
          <w:b/>
          <w:bCs/>
          <w:sz w:val="24"/>
          <w:szCs w:val="24"/>
        </w:rPr>
      </w:pPr>
      <w:r w:rsidRPr="1AB6159B">
        <w:rPr>
          <w:rFonts w:ascii="Arial" w:hAnsi="Arial" w:cs="Arial"/>
          <w:b/>
          <w:bCs/>
          <w:sz w:val="24"/>
          <w:szCs w:val="24"/>
        </w:rPr>
        <w:t xml:space="preserve">Ineludible 5. Instancia de coordinación. </w:t>
      </w:r>
    </w:p>
    <w:p w:rsidR="00B61180" w:rsidP="00B61180" w:rsidRDefault="00B61180" w14:paraId="0F45BCB2" w14:textId="77777777">
      <w:pPr>
        <w:jc w:val="both"/>
        <w:rPr>
          <w:rFonts w:ascii="Arial" w:hAnsi="Arial" w:cs="Arial"/>
          <w:sz w:val="24"/>
          <w:szCs w:val="24"/>
        </w:rPr>
      </w:pPr>
      <w:r w:rsidRPr="1AB6159B">
        <w:rPr>
          <w:rFonts w:ascii="Arial" w:hAnsi="Arial" w:cs="Arial"/>
          <w:sz w:val="24"/>
          <w:szCs w:val="24"/>
        </w:rPr>
        <w:t xml:space="preserve">La Instancia de Coordinación constituye el principal escenario de gobernanza para la implementación de la resolución de delimitación del complejo de páramos Santurbán-Berlín. En ella confluyen las autoridades públicas con competencias sobre el territorio, las entidades territoriales, las comunidades campesinas e indígenas, las organizaciones sociales y los demás actores convocados, con el propósito de fortalecer la articulación institucional, la participación efectiva, la coordinación de acciones y la implementación progresiva de los acuerdos y decisiones derivados del proceso de delimitación participativa. </w:t>
      </w:r>
    </w:p>
    <w:p w:rsidR="00B61180" w:rsidP="00B61180" w:rsidRDefault="00B61180" w14:paraId="0164A909" w14:textId="77777777">
      <w:pPr>
        <w:jc w:val="both"/>
        <w:rPr>
          <w:rFonts w:ascii="Arial" w:hAnsi="Arial" w:cs="Arial"/>
          <w:sz w:val="24"/>
          <w:szCs w:val="24"/>
        </w:rPr>
      </w:pPr>
      <w:r w:rsidRPr="1AB6159B">
        <w:rPr>
          <w:rFonts w:ascii="Arial" w:hAnsi="Arial" w:cs="Arial"/>
          <w:sz w:val="24"/>
          <w:szCs w:val="24"/>
        </w:rPr>
        <w:t xml:space="preserve">Su funcionamiento desarrolla los principios constitucionales de coordinación, concurrencia y colaboración armónica previstos en los artículos 209 y 288 de la Constitución Política y materializa el modelo de participación permanente reconocido por la Sentencia T-361 de 2017, conforme al cual la participación ciudadana continúa durante toda la implementación de la resolución de delimitación mediante espacios permanentes de información, deliberación, seguimiento, verificación y control social. </w:t>
      </w:r>
    </w:p>
    <w:p w:rsidR="00B61180" w:rsidP="00B61180" w:rsidRDefault="00B61180" w14:paraId="0DB5681F" w14:textId="77777777">
      <w:pPr>
        <w:jc w:val="both"/>
        <w:rPr>
          <w:rFonts w:ascii="Arial" w:hAnsi="Arial" w:cs="Arial"/>
          <w:sz w:val="24"/>
          <w:szCs w:val="24"/>
        </w:rPr>
      </w:pPr>
      <w:r w:rsidRPr="1AB6159B">
        <w:rPr>
          <w:rFonts w:ascii="Arial" w:hAnsi="Arial" w:cs="Arial"/>
          <w:sz w:val="24"/>
          <w:szCs w:val="24"/>
        </w:rPr>
        <w:t xml:space="preserve">En este contexto, la Instancia de Coordinación constituye el órgano de gobernanza del sistema de fiscalización y el escenario en el cual se orienta su funcionamiento, se verifica de manera colegiada la información consolidada, se adoptan los lineamientos necesarios para su operación y se promueve su fortalecimiento mediante un proceso permanente de mejora continua. Para el cumplimiento de estas funciones, el sistema de fiscalización constituye la herramienta de gestión que soporta técnicamente el funcionamiento de la Instancia, mediante la consolidación, organización, trazabilidad y divulgación de la información relacionada con la implementación de la resolución, las actuaciones adelantadas por las entidades </w:t>
      </w:r>
      <w:r w:rsidRPr="1AB6159B">
        <w:rPr>
          <w:rFonts w:ascii="Arial" w:hAnsi="Arial" w:cs="Arial"/>
          <w:sz w:val="24"/>
          <w:szCs w:val="24"/>
        </w:rPr>
        <w:t xml:space="preserve">competentes, las alertas registradas, el estado de los compromisos institucionales y los resultados del proceso participativo. </w:t>
      </w:r>
    </w:p>
    <w:p w:rsidR="00B61180" w:rsidP="00B61180" w:rsidRDefault="00B61180" w14:paraId="03681EAF" w14:textId="77777777">
      <w:pPr>
        <w:jc w:val="both"/>
        <w:rPr>
          <w:rFonts w:ascii="Arial" w:hAnsi="Arial" w:cs="Arial"/>
          <w:sz w:val="24"/>
          <w:szCs w:val="24"/>
        </w:rPr>
      </w:pPr>
      <w:r w:rsidRPr="1AB6159B">
        <w:rPr>
          <w:rFonts w:ascii="Arial" w:hAnsi="Arial" w:cs="Arial"/>
          <w:sz w:val="24"/>
          <w:szCs w:val="24"/>
        </w:rPr>
        <w:t xml:space="preserve">Con fundamento en dicha información, la Instancia de Coordinación podrá: </w:t>
      </w:r>
    </w:p>
    <w:p w:rsidRPr="00F01932" w:rsidR="00B61180" w:rsidP="00B61180" w:rsidRDefault="00B61180" w14:paraId="4C6DC364" w14:textId="77777777">
      <w:pPr>
        <w:pStyle w:val="Prrafodelista"/>
        <w:numPr>
          <w:ilvl w:val="0"/>
          <w:numId w:val="36"/>
        </w:numPr>
        <w:jc w:val="both"/>
        <w:rPr>
          <w:rFonts w:ascii="Arial" w:hAnsi="Arial" w:cs="Arial"/>
          <w:sz w:val="24"/>
          <w:szCs w:val="24"/>
        </w:rPr>
      </w:pPr>
      <w:r w:rsidRPr="00F01932">
        <w:rPr>
          <w:rFonts w:ascii="Arial" w:hAnsi="Arial" w:cs="Arial"/>
          <w:sz w:val="24"/>
          <w:szCs w:val="24"/>
        </w:rPr>
        <w:t xml:space="preserve">verificar el estado de implementación de la resolución de delimitación; </w:t>
      </w:r>
    </w:p>
    <w:p w:rsidRPr="00F01932" w:rsidR="00B61180" w:rsidP="00B61180" w:rsidRDefault="00B61180" w14:paraId="29EDA66D" w14:textId="77777777">
      <w:pPr>
        <w:pStyle w:val="Prrafodelista"/>
        <w:numPr>
          <w:ilvl w:val="0"/>
          <w:numId w:val="36"/>
        </w:numPr>
        <w:jc w:val="both"/>
        <w:rPr>
          <w:rFonts w:ascii="Arial" w:hAnsi="Arial" w:cs="Arial"/>
          <w:sz w:val="24"/>
          <w:szCs w:val="24"/>
        </w:rPr>
      </w:pPr>
      <w:r w:rsidRPr="00F01932">
        <w:rPr>
          <w:rFonts w:ascii="Arial" w:hAnsi="Arial" w:cs="Arial"/>
          <w:sz w:val="24"/>
          <w:szCs w:val="24"/>
        </w:rPr>
        <w:t xml:space="preserve">conocer el avance de los compromisos y acuerdos derivados del proceso participativo; </w:t>
      </w:r>
    </w:p>
    <w:p w:rsidRPr="00F01932" w:rsidR="00B61180" w:rsidP="00B61180" w:rsidRDefault="00B61180" w14:paraId="1D1667EF" w14:textId="77777777">
      <w:pPr>
        <w:pStyle w:val="Prrafodelista"/>
        <w:numPr>
          <w:ilvl w:val="0"/>
          <w:numId w:val="36"/>
        </w:numPr>
        <w:jc w:val="both"/>
        <w:rPr>
          <w:rFonts w:ascii="Arial" w:hAnsi="Arial" w:cs="Arial"/>
          <w:sz w:val="24"/>
          <w:szCs w:val="24"/>
        </w:rPr>
      </w:pPr>
      <w:r w:rsidRPr="00F01932">
        <w:rPr>
          <w:rFonts w:ascii="Arial" w:hAnsi="Arial" w:cs="Arial"/>
          <w:sz w:val="24"/>
          <w:szCs w:val="24"/>
        </w:rPr>
        <w:t xml:space="preserve">verificar el funcionamiento de los mecanismos de articulación institucional, participación, transparencia, trazabilidad y rendición de cuentas previstos en el Sistema; </w:t>
      </w:r>
    </w:p>
    <w:p w:rsidR="00B61180" w:rsidP="00B61180" w:rsidRDefault="00B61180" w14:paraId="7F9E0879" w14:textId="77777777">
      <w:pPr>
        <w:pStyle w:val="Prrafodelista"/>
        <w:numPr>
          <w:ilvl w:val="0"/>
          <w:numId w:val="36"/>
        </w:numPr>
        <w:jc w:val="both"/>
        <w:rPr>
          <w:rFonts w:ascii="Arial" w:hAnsi="Arial" w:cs="Arial"/>
          <w:sz w:val="24"/>
          <w:szCs w:val="24"/>
        </w:rPr>
      </w:pPr>
      <w:r w:rsidRPr="00F01932">
        <w:rPr>
          <w:rFonts w:ascii="Arial" w:hAnsi="Arial" w:cs="Arial"/>
          <w:sz w:val="24"/>
          <w:szCs w:val="24"/>
        </w:rPr>
        <w:t>formular recomendaciones y orientar acciones para el fortalecimiento</w:t>
      </w:r>
      <w:r w:rsidRPr="00F01932">
        <w:rPr>
          <w:rFonts w:ascii="Arial" w:hAnsi="Arial" w:cs="Arial"/>
          <w:sz w:val="24"/>
          <w:szCs w:val="24"/>
        </w:rPr>
        <w:br/>
      </w:r>
      <w:r w:rsidRPr="00F01932">
        <w:rPr>
          <w:rFonts w:ascii="Arial" w:hAnsi="Arial" w:cs="Arial"/>
          <w:sz w:val="24"/>
          <w:szCs w:val="24"/>
        </w:rPr>
        <w:t>progresivo del Sistema de Fiscalización;</w:t>
      </w:r>
    </w:p>
    <w:p w:rsidR="00B61180" w:rsidP="00B61180" w:rsidRDefault="00B61180" w14:paraId="6CB80330" w14:textId="77777777">
      <w:pPr>
        <w:pStyle w:val="Prrafodelista"/>
        <w:numPr>
          <w:ilvl w:val="0"/>
          <w:numId w:val="36"/>
        </w:numPr>
        <w:jc w:val="both"/>
        <w:rPr>
          <w:rFonts w:ascii="Arial" w:hAnsi="Arial" w:cs="Arial"/>
          <w:sz w:val="24"/>
          <w:szCs w:val="24"/>
        </w:rPr>
      </w:pPr>
      <w:r w:rsidRPr="00F01932">
        <w:rPr>
          <w:rFonts w:ascii="Arial" w:hAnsi="Arial" w:cs="Arial"/>
          <w:sz w:val="24"/>
          <w:szCs w:val="24"/>
        </w:rPr>
        <w:t>promover la coordinación entre las entidades competentes cuando la</w:t>
      </w:r>
      <w:r>
        <w:rPr>
          <w:rFonts w:ascii="Arial" w:hAnsi="Arial" w:cs="Arial"/>
          <w:sz w:val="24"/>
          <w:szCs w:val="24"/>
        </w:rPr>
        <w:t xml:space="preserve"> </w:t>
      </w:r>
      <w:r w:rsidRPr="00F01932">
        <w:rPr>
          <w:rFonts w:ascii="Arial" w:hAnsi="Arial" w:cs="Arial"/>
          <w:sz w:val="24"/>
          <w:szCs w:val="24"/>
        </w:rPr>
        <w:t>implementación de la resolución requiera actuaciones articuladas.</w:t>
      </w:r>
      <w:r>
        <w:rPr>
          <w:rFonts w:ascii="Arial" w:hAnsi="Arial" w:cs="Arial"/>
          <w:sz w:val="24"/>
          <w:szCs w:val="24"/>
        </w:rPr>
        <w:t xml:space="preserve"> </w:t>
      </w:r>
    </w:p>
    <w:p w:rsidR="00B61180" w:rsidP="00B61180" w:rsidRDefault="00B61180" w14:paraId="6A5F44BE" w14:textId="77777777">
      <w:pPr>
        <w:jc w:val="both"/>
        <w:rPr>
          <w:rFonts w:ascii="Arial" w:hAnsi="Arial" w:cs="Arial"/>
          <w:sz w:val="24"/>
          <w:szCs w:val="24"/>
        </w:rPr>
      </w:pPr>
      <w:r w:rsidRPr="1AB6159B">
        <w:rPr>
          <w:rFonts w:ascii="Arial" w:hAnsi="Arial" w:cs="Arial"/>
          <w:sz w:val="24"/>
          <w:szCs w:val="24"/>
        </w:rPr>
        <w:t xml:space="preserve">La Presidencia de la Instancia de Coordinación ejercerá la administración operativa del Sistema de Fiscalización, consolidando la información reportada por sus integrantes, administrando el repositorio de información, coordinando la actualización del sistema de acceso a la información, preparando los reportes periódicos y el Balance Anual del Sistema y desarrollando las demás actividades previstas en el Protocolo Operativo. </w:t>
      </w:r>
    </w:p>
    <w:p w:rsidR="00B61180" w:rsidP="00B61180" w:rsidRDefault="00B61180" w14:paraId="63DD140C" w14:textId="77777777">
      <w:pPr>
        <w:jc w:val="both"/>
        <w:rPr>
          <w:rFonts w:ascii="Arial" w:hAnsi="Arial" w:cs="Arial"/>
          <w:sz w:val="24"/>
          <w:szCs w:val="24"/>
        </w:rPr>
      </w:pPr>
      <w:r w:rsidRPr="1AB6159B">
        <w:rPr>
          <w:rFonts w:ascii="Arial" w:hAnsi="Arial" w:cs="Arial"/>
          <w:sz w:val="24"/>
          <w:szCs w:val="24"/>
        </w:rPr>
        <w:t xml:space="preserve">Por su parte, la Comisión Conjunta de las autoridades ambientales con jurisdicción en el Complejo de Páramos Santurbán - Berlín constituye el escenario de coordinación para el ejercicio articulado de las competencias concurrentes que les atribuye el ordenamiento jurídico. Cuando durante la operación del Sistema se identifiquen asuntos que requieran coordinación entre dichas autoridades, la información correspondiente será incorporada al sistema y puesta en conocimiento de la Comisión Conjunta para lo de su competencia, garantizando su trazabilidad sin sustituir las funciones que el ordenamiento jurídico le asigna. La información consolidada por el sistema será presentada periódicamente a la Instancia de Coordinación para su conocimiento, verificación y análisis, y posteriormente divulgada mediante los medios establecidos y los demás mecanismos de transparencia definidos por la propia Instancia, fortaleciendo el acceso a la información, la rendición de cuentas, la participación efectiva y el ejercicio del control social. </w:t>
      </w:r>
    </w:p>
    <w:p w:rsidR="00B61180" w:rsidP="00B61180" w:rsidRDefault="00B61180" w14:paraId="33570732" w14:textId="77777777">
      <w:pPr>
        <w:jc w:val="both"/>
        <w:rPr>
          <w:rFonts w:ascii="Arial" w:hAnsi="Arial" w:cs="Arial"/>
          <w:sz w:val="24"/>
          <w:szCs w:val="24"/>
        </w:rPr>
      </w:pPr>
      <w:r w:rsidRPr="1AB6159B">
        <w:rPr>
          <w:rFonts w:ascii="Arial" w:hAnsi="Arial" w:cs="Arial"/>
          <w:sz w:val="24"/>
          <w:szCs w:val="24"/>
        </w:rPr>
        <w:t xml:space="preserve">De esta manera, la Instancia de Coordinación y el Sistema de Fiscalización conforman un modelo integrado de gobernanza para la implementación de la resolución de delimitación, en el cual la primera ejerce la orientación estratégica y la mejora continua del Sistema, mientras este suministra la información necesaria para verificar el estado de implementación de la resolución, fortalecer la coordinación </w:t>
      </w:r>
      <w:r w:rsidRPr="1AB6159B">
        <w:rPr>
          <w:rFonts w:ascii="Arial" w:hAnsi="Arial" w:cs="Arial"/>
          <w:sz w:val="24"/>
          <w:szCs w:val="24"/>
        </w:rPr>
        <w:t>institucional y materializar la fase de fiscalización prevista por la Sentencia T-361 de 2017, sin sustituir las competencias constitucionales y legales de las autoridades públicas.</w:t>
      </w:r>
    </w:p>
    <w:p w:rsidR="00B61180" w:rsidP="00B61180" w:rsidRDefault="00B61180" w14:paraId="2CBBE627" w14:textId="77777777">
      <w:pPr>
        <w:ind w:left="360"/>
        <w:jc w:val="both"/>
        <w:rPr>
          <w:rFonts w:ascii="Arial" w:hAnsi="Arial" w:cs="Arial"/>
          <w:sz w:val="24"/>
          <w:szCs w:val="24"/>
        </w:rPr>
      </w:pPr>
    </w:p>
    <w:p w:rsidR="00B61180" w:rsidP="00B61180" w:rsidRDefault="00B61180" w14:paraId="3F79299B" w14:textId="77777777">
      <w:pPr>
        <w:jc w:val="both"/>
        <w:rPr>
          <w:rFonts w:ascii="Arial" w:hAnsi="Arial" w:cs="Arial"/>
          <w:b/>
          <w:bCs/>
          <w:sz w:val="24"/>
          <w:szCs w:val="24"/>
        </w:rPr>
      </w:pPr>
      <w:r w:rsidRPr="1AB6159B">
        <w:rPr>
          <w:rFonts w:ascii="Arial" w:hAnsi="Arial" w:cs="Arial"/>
          <w:b/>
          <w:bCs/>
          <w:sz w:val="24"/>
          <w:szCs w:val="24"/>
        </w:rPr>
        <w:t>Ineludible 6. Modelo de financiación.</w:t>
      </w:r>
    </w:p>
    <w:p w:rsidR="00B61180" w:rsidP="00B61180" w:rsidRDefault="00B61180" w14:paraId="263DE512" w14:textId="77777777">
      <w:pPr>
        <w:jc w:val="both"/>
        <w:rPr>
          <w:rFonts w:ascii="Arial" w:hAnsi="Arial" w:cs="Arial"/>
          <w:sz w:val="24"/>
          <w:szCs w:val="24"/>
        </w:rPr>
      </w:pPr>
      <w:r w:rsidRPr="1AB6159B">
        <w:rPr>
          <w:rFonts w:ascii="Arial" w:hAnsi="Arial" w:cs="Arial"/>
          <w:sz w:val="24"/>
          <w:szCs w:val="24"/>
        </w:rPr>
        <w:t>El modelo de financiación construido durante el proceso participativo constituye un instrumento orientador para la gestión de recursos destinados a la implementación de la resolución de delimitación y a la gestión integral del complejo de páramo Santurbán-Berlín. En este sentido, no constituye una asignación presupuestal, una fuente autónoma de financiación ni una decisión sobre la destinación de recursos públicos, sino la identificación y articulación de las diferentes fuentes de financiación existentes públicas y privadas, nacionales e internacionales que, de conformidad con el ordenamiento jurídico y las competencias de las entidades correspondientes, pueden contribuir al cumplimiento de los objetivos de conservación, restauración, reconversión productiva y fortalecimiento de las comunidades que habitan el páramo.</w:t>
      </w:r>
    </w:p>
    <w:p w:rsidR="00B61180" w:rsidP="00B61180" w:rsidRDefault="00B61180" w14:paraId="2F899B23" w14:textId="77777777">
      <w:pPr>
        <w:jc w:val="both"/>
        <w:rPr>
          <w:rFonts w:ascii="Arial" w:hAnsi="Arial" w:cs="Arial"/>
          <w:sz w:val="24"/>
          <w:szCs w:val="24"/>
        </w:rPr>
      </w:pPr>
      <w:r w:rsidRPr="1AB6159B">
        <w:rPr>
          <w:rFonts w:ascii="Arial" w:hAnsi="Arial" w:cs="Arial"/>
          <w:sz w:val="24"/>
          <w:szCs w:val="24"/>
        </w:rPr>
        <w:t xml:space="preserve">El valor del modelo radica en haber identificado, de manera participativa, las alternativas financieras con mayor potencial para apoyar la gestión socio-ecológica e integral del territorio, incluyendo, entre otras, los pagos por servicios ambientales, los negocios verdes, los instrumentos de fomento agropecuario, los mecanismos de cooperación internacional, los recursos del Sistema General de Regalías y las demás fuentes de financiación que resulten compatibles con los objetivos de la resolución de delimitación. </w:t>
      </w:r>
    </w:p>
    <w:p w:rsidR="00B61180" w:rsidP="00B61180" w:rsidRDefault="00B61180" w14:paraId="4D115F03" w14:textId="77777777">
      <w:pPr>
        <w:jc w:val="both"/>
        <w:rPr>
          <w:rFonts w:ascii="Arial" w:hAnsi="Arial" w:cs="Arial"/>
          <w:sz w:val="24"/>
          <w:szCs w:val="24"/>
        </w:rPr>
      </w:pPr>
      <w:r w:rsidRPr="1AB6159B">
        <w:rPr>
          <w:rFonts w:ascii="Arial" w:hAnsi="Arial" w:cs="Arial"/>
          <w:sz w:val="24"/>
          <w:szCs w:val="24"/>
        </w:rPr>
        <w:t xml:space="preserve">En desarrollo de la fase de fiscalización prevista por la Sentencia T-361 de 2017, el sistema de fiscalización incorpora mecanismos de seguimiento y verificación orientados a hacer visible el estado de gestión de dichas fuentes, fortalecer la transparencia en su implementación y facilitar el ejercicio del control social por parte de las comunidades, sin sustituir las competencias legales de programación, administración, ejecución, seguimiento fiscal o control de los recursos públicos atribuidas a las autoridades competentes. En desarrollo de este propósito, el sistema desarrolla las siguientes líneas de seguimiento: </w:t>
      </w:r>
    </w:p>
    <w:p w:rsidRPr="00976492" w:rsidR="00B61180" w:rsidP="00B61180" w:rsidRDefault="00B61180" w14:paraId="2E76D301" w14:textId="77777777">
      <w:pPr>
        <w:pStyle w:val="Prrafodelista"/>
        <w:numPr>
          <w:ilvl w:val="0"/>
          <w:numId w:val="38"/>
        </w:numPr>
        <w:jc w:val="both"/>
        <w:rPr>
          <w:rFonts w:ascii="Arial" w:hAnsi="Arial" w:cs="Arial"/>
          <w:b/>
          <w:bCs/>
          <w:sz w:val="24"/>
          <w:szCs w:val="24"/>
        </w:rPr>
      </w:pPr>
      <w:r w:rsidRPr="1AB6159B">
        <w:rPr>
          <w:rFonts w:ascii="Arial" w:hAnsi="Arial" w:cs="Arial"/>
          <w:b/>
          <w:bCs/>
          <w:sz w:val="24"/>
          <w:szCs w:val="24"/>
        </w:rPr>
        <w:t>Seguimiento a la gestión de acceso a las fuentes de financiación</w:t>
      </w:r>
    </w:p>
    <w:p w:rsidR="00B61180" w:rsidP="00B61180" w:rsidRDefault="00B61180" w14:paraId="1F8989D5" w14:textId="77777777">
      <w:pPr>
        <w:jc w:val="both"/>
      </w:pPr>
      <w:r w:rsidRPr="1AB6159B">
        <w:rPr>
          <w:rFonts w:ascii="Arial" w:hAnsi="Arial" w:cs="Arial"/>
          <w:sz w:val="24"/>
          <w:szCs w:val="24"/>
        </w:rPr>
        <w:t xml:space="preserve">El sistema registra y hace seguimiento a las actuaciones adelantadas por el Ministerio de Ambiente y Desarrollo Sostenible, las Corporaciones Autónomas Regionales, el Ministerio de Agricultura y Desarrollo Rural, las entidades territoriales y las demás instituciones competentes para gestionar el acceso a las fuentes de financiación identificadas en el modelo, verificando el estado de avance de las </w:t>
      </w:r>
      <w:r w:rsidRPr="1AB6159B">
        <w:rPr>
          <w:rFonts w:ascii="Arial" w:hAnsi="Arial" w:cs="Arial"/>
          <w:sz w:val="24"/>
          <w:szCs w:val="24"/>
        </w:rPr>
        <w:t xml:space="preserve">gestiones institucionales orientadas a facilitar que dichos instrumentos se conviertan en oportunidades efectivas para las comunidades del páramo. </w:t>
      </w:r>
    </w:p>
    <w:p w:rsidR="00B61180" w:rsidP="00B61180" w:rsidRDefault="00B61180" w14:paraId="7A797A41" w14:textId="77777777">
      <w:pPr>
        <w:jc w:val="both"/>
        <w:rPr>
          <w:rFonts w:ascii="Arial" w:hAnsi="Arial" w:cs="Arial"/>
          <w:sz w:val="24"/>
          <w:szCs w:val="24"/>
        </w:rPr>
      </w:pPr>
      <w:r w:rsidRPr="1AB6159B">
        <w:rPr>
          <w:rFonts w:ascii="Arial" w:hAnsi="Arial" w:cs="Arial"/>
          <w:sz w:val="24"/>
          <w:szCs w:val="24"/>
        </w:rPr>
        <w:t xml:space="preserve">Este seguimiento tiene como finalidad verificar el cumplimiento de los compromisos derivados de la resolución de delimitación y generar información pública sobre el estado de gestión de las diferentes fuentes de financiación, sin interferir en las competencias propias de las entidades responsables de su administración o asignación. </w:t>
      </w:r>
    </w:p>
    <w:p w:rsidR="00B61180" w:rsidP="00B61180" w:rsidRDefault="00B61180" w14:paraId="21541390" w14:textId="77777777">
      <w:pPr>
        <w:ind w:left="360"/>
        <w:jc w:val="both"/>
        <w:rPr>
          <w:rFonts w:ascii="Arial" w:hAnsi="Arial" w:cs="Arial"/>
          <w:b/>
          <w:bCs/>
          <w:sz w:val="24"/>
          <w:szCs w:val="24"/>
        </w:rPr>
      </w:pPr>
      <w:r w:rsidRPr="1AB6159B">
        <w:rPr>
          <w:rFonts w:ascii="Arial" w:hAnsi="Arial" w:cs="Arial"/>
          <w:b/>
          <w:bCs/>
          <w:sz w:val="24"/>
          <w:szCs w:val="24"/>
        </w:rPr>
        <w:t xml:space="preserve">b) Seguimiento a la priorización y ejecución de los recursos </w:t>
      </w:r>
    </w:p>
    <w:p w:rsidR="00B61180" w:rsidP="00B61180" w:rsidRDefault="00B61180" w14:paraId="317F5035" w14:textId="77777777">
      <w:pPr>
        <w:jc w:val="both"/>
        <w:rPr>
          <w:rFonts w:ascii="Arial" w:hAnsi="Arial" w:cs="Arial"/>
          <w:sz w:val="24"/>
          <w:szCs w:val="24"/>
        </w:rPr>
      </w:pPr>
      <w:r w:rsidRPr="1AB6159B">
        <w:rPr>
          <w:rFonts w:ascii="Arial" w:hAnsi="Arial" w:cs="Arial"/>
          <w:sz w:val="24"/>
          <w:szCs w:val="24"/>
        </w:rPr>
        <w:t xml:space="preserve">Cuando las diferentes fuentes de financiación identificadas en el modelo se materialicen mediante programas, proyectos o inversiones, el sistema registrará y hará trazable la información relacionada con la priorización realizada por la Instancia de Coordinación, respetando plenamente la autonomía funcional de dicha instancia y las competencias legales de las entidades ejecutoras. </w:t>
      </w:r>
    </w:p>
    <w:p w:rsidR="00B61180" w:rsidP="00B61180" w:rsidRDefault="00B61180" w14:paraId="7C34D35F" w14:textId="77777777">
      <w:pPr>
        <w:jc w:val="both"/>
        <w:rPr>
          <w:rFonts w:ascii="Arial" w:hAnsi="Arial" w:cs="Arial"/>
          <w:sz w:val="24"/>
          <w:szCs w:val="24"/>
        </w:rPr>
      </w:pPr>
      <w:r w:rsidRPr="1AB6159B">
        <w:rPr>
          <w:rFonts w:ascii="Arial" w:hAnsi="Arial" w:cs="Arial"/>
          <w:sz w:val="24"/>
          <w:szCs w:val="24"/>
        </w:rPr>
        <w:t xml:space="preserve">Así mismo, el sistema realizará seguimiento al estado general de ejecución de las acciones financiadas, consolidando información que permita verificar la correspondencia entre las prioridades definidas participativamente, las decisiones adoptadas por la Instancia de Coordinación y las actuaciones desarrolladas por las entidades responsables de su ejecución. Esta función tiene una finalidad exclusivamente verificadora y de transparencia, orientada a fortalecer el acceso a la información y el ejercicio del control social por parte de las comunidades. </w:t>
      </w:r>
    </w:p>
    <w:p w:rsidR="00B61180" w:rsidP="00B61180" w:rsidRDefault="00B61180" w14:paraId="119DE6B7" w14:textId="77777777">
      <w:pPr>
        <w:ind w:left="360"/>
        <w:jc w:val="both"/>
        <w:rPr>
          <w:rFonts w:ascii="Arial" w:hAnsi="Arial" w:cs="Arial"/>
          <w:b/>
          <w:bCs/>
          <w:sz w:val="24"/>
          <w:szCs w:val="24"/>
        </w:rPr>
      </w:pPr>
      <w:r w:rsidRPr="1AB6159B">
        <w:rPr>
          <w:rFonts w:ascii="Arial" w:hAnsi="Arial" w:cs="Arial"/>
          <w:b/>
          <w:bCs/>
          <w:sz w:val="24"/>
          <w:szCs w:val="24"/>
        </w:rPr>
        <w:t xml:space="preserve">c) Transparencia sobre el estado de las fuentes de financiación </w:t>
      </w:r>
    </w:p>
    <w:p w:rsidR="00B61180" w:rsidP="00B61180" w:rsidRDefault="00B61180" w14:paraId="71A8B00D" w14:textId="77777777">
      <w:pPr>
        <w:jc w:val="both"/>
        <w:rPr>
          <w:rFonts w:ascii="Arial" w:hAnsi="Arial" w:cs="Arial"/>
          <w:sz w:val="24"/>
          <w:szCs w:val="24"/>
        </w:rPr>
      </w:pPr>
      <w:r w:rsidRPr="1AB6159B">
        <w:rPr>
          <w:rFonts w:ascii="Arial" w:hAnsi="Arial" w:cs="Arial"/>
          <w:sz w:val="24"/>
          <w:szCs w:val="24"/>
        </w:rPr>
        <w:t xml:space="preserve">El sistema consolidará y divulgará periódicamente información relacionada con el estado de las diferentes fuentes de financiación identificadas en el modelo participativo, indicando, entre otros aspectos, cuáles se encuentran activas, cuáles se encuentran en proceso de gestión, cuáles han sido materializadas mediante proyectos específicos y cuáles presentan limitaciones para su implementación, junto con la información disponible sobre las razones que expliquen dicha situación. Esta información permitirá fortalecer la transparencia de la gestión pública, facilitar el seguimiento ciudadano y proporcionar a las comunidades información objetiva y verificable sobre la disponibilidad y evolución de los instrumentos financieros previstos para la implementación de la resolución de delimitación. </w:t>
      </w:r>
    </w:p>
    <w:p w:rsidR="00B61180" w:rsidP="00B61180" w:rsidRDefault="00B61180" w14:paraId="6F76DE0D" w14:textId="77777777">
      <w:pPr>
        <w:ind w:left="360"/>
        <w:jc w:val="both"/>
        <w:rPr>
          <w:rFonts w:ascii="Arial" w:hAnsi="Arial" w:cs="Arial"/>
          <w:sz w:val="24"/>
          <w:szCs w:val="24"/>
        </w:rPr>
      </w:pPr>
    </w:p>
    <w:p w:rsidR="00B61180" w:rsidP="00B61180" w:rsidRDefault="00B61180" w14:paraId="3E319853" w14:textId="77777777">
      <w:pPr>
        <w:ind w:left="360"/>
        <w:jc w:val="both"/>
        <w:rPr>
          <w:rFonts w:ascii="Arial" w:hAnsi="Arial" w:cs="Arial"/>
          <w:b/>
          <w:bCs/>
          <w:sz w:val="24"/>
          <w:szCs w:val="24"/>
        </w:rPr>
      </w:pPr>
      <w:r w:rsidRPr="1AB6159B">
        <w:rPr>
          <w:rFonts w:ascii="Arial" w:hAnsi="Arial" w:cs="Arial"/>
          <w:b/>
          <w:bCs/>
          <w:sz w:val="24"/>
          <w:szCs w:val="24"/>
        </w:rPr>
        <w:t xml:space="preserve">d) Seguimiento a la destinación de los recursos y fortalecimiento del control social </w:t>
      </w:r>
    </w:p>
    <w:p w:rsidR="00B61180" w:rsidP="00B61180" w:rsidRDefault="00B61180" w14:paraId="0FAD8EE2" w14:textId="77777777">
      <w:pPr>
        <w:jc w:val="both"/>
        <w:rPr>
          <w:rFonts w:ascii="Arial" w:hAnsi="Arial" w:cs="Arial"/>
          <w:sz w:val="24"/>
          <w:szCs w:val="24"/>
        </w:rPr>
      </w:pPr>
      <w:r w:rsidRPr="1AB6159B">
        <w:rPr>
          <w:rFonts w:ascii="Arial" w:hAnsi="Arial" w:cs="Arial"/>
          <w:sz w:val="24"/>
          <w:szCs w:val="24"/>
        </w:rPr>
        <w:t xml:space="preserve">El sistema registrará y hará trazable la información relacionada con la ejecución de los recursos destinados a la implementación de la resolución de delimitación, </w:t>
      </w:r>
      <w:r w:rsidRPr="1AB6159B">
        <w:rPr>
          <w:rFonts w:ascii="Arial" w:hAnsi="Arial" w:cs="Arial"/>
          <w:sz w:val="24"/>
          <w:szCs w:val="24"/>
        </w:rPr>
        <w:t xml:space="preserve">verificando la correspondencia entre las prioridades definidas por la Instancia de Coordinación, las decisiones institucionales adoptadas y las actuaciones ejecutadas por las entidades responsables. </w:t>
      </w:r>
    </w:p>
    <w:p w:rsidRPr="00A47C22" w:rsidR="00B61180" w:rsidP="00B61180" w:rsidRDefault="00B61180" w14:paraId="104F28B4" w14:textId="77777777">
      <w:pPr>
        <w:jc w:val="both"/>
        <w:rPr>
          <w:rFonts w:ascii="Arial" w:hAnsi="Arial" w:cs="Arial"/>
          <w:sz w:val="24"/>
          <w:szCs w:val="24"/>
        </w:rPr>
      </w:pPr>
      <w:r w:rsidRPr="1AB6159B">
        <w:rPr>
          <w:rFonts w:ascii="Arial" w:hAnsi="Arial" w:cs="Arial"/>
          <w:sz w:val="24"/>
          <w:szCs w:val="24"/>
        </w:rPr>
        <w:t xml:space="preserve">Cuando, en desarrollo de los procesos de seguimiento y control social, se identifiquen situaciones que puedan evidenciar presuntos incumplimientos de los compromisos institucionales, inconsistencias entre las prioridades definidas y la destinación de los recursos, o hechos que, de acuerdo con la información disponible, ameriten ser conocidos por las autoridades competentes, el Sistema registrará dicha información, garantizará su trazabilidad y promoverá su traslado a las entidades que correspondan, incluido el Ministerio Público cuando resulte procedente, sin prejuzgar sobre la existencia de responsabilidades administrativas, fiscales, disciplinarias o penales, cuya determinación corresponde exclusivamente a las autoridades competentes. </w:t>
      </w:r>
    </w:p>
    <w:p w:rsidRPr="00976492" w:rsidR="00B61180" w:rsidP="00B61180" w:rsidRDefault="00B61180" w14:paraId="47D9487F" w14:textId="77777777">
      <w:pPr>
        <w:jc w:val="both"/>
        <w:rPr>
          <w:rFonts w:ascii="Arial" w:hAnsi="Arial" w:cs="Arial"/>
          <w:sz w:val="24"/>
          <w:szCs w:val="24"/>
        </w:rPr>
      </w:pPr>
      <w:r w:rsidRPr="1AB6159B">
        <w:rPr>
          <w:rFonts w:ascii="Arial" w:hAnsi="Arial" w:cs="Arial"/>
          <w:sz w:val="24"/>
          <w:szCs w:val="24"/>
        </w:rPr>
        <w:t>En este contexto, el sistema de fiscalización fortalece la transparencia, la rendición de cuentas y el ejercicio del control social sobre la gestión de los recursos asociados a la implementación de la resolución de delimitación, permitiendo que las comunidades conozcan el estado de las fuentes de financiación, hagan seguimiento a la gestión institucional y participen activamente en la verificación del cumplimiento de las decisiones adoptadas, conforme al alcance de la fase de fiscalización establecido por la Sentencia T- 361 de 2017.</w:t>
      </w:r>
    </w:p>
    <w:p w:rsidRPr="00FC4BE6" w:rsidR="00B61180" w:rsidP="00B61180" w:rsidRDefault="00B61180" w14:paraId="75BF186F" w14:textId="77777777">
      <w:pPr>
        <w:jc w:val="both"/>
        <w:rPr>
          <w:rFonts w:ascii="Arial" w:hAnsi="Arial" w:cs="Arial"/>
          <w:sz w:val="24"/>
          <w:szCs w:val="24"/>
        </w:rPr>
      </w:pPr>
      <w:r w:rsidRPr="1AB6159B">
        <w:rPr>
          <w:rFonts w:ascii="Arial" w:hAnsi="Arial" w:cs="Arial"/>
          <w:b/>
          <w:bCs/>
          <w:sz w:val="24"/>
          <w:szCs w:val="24"/>
        </w:rPr>
        <w:t xml:space="preserve">CAPÍTULO 2. ACTORES DEL SISTEMA </w:t>
      </w:r>
    </w:p>
    <w:p w:rsidR="00B61180" w:rsidP="00B61180" w:rsidRDefault="00B61180" w14:paraId="3F195488" w14:textId="77777777">
      <w:pPr>
        <w:jc w:val="both"/>
        <w:rPr>
          <w:rFonts w:ascii="Arial" w:hAnsi="Arial" w:cs="Arial"/>
          <w:sz w:val="24"/>
          <w:szCs w:val="24"/>
        </w:rPr>
      </w:pPr>
      <w:r w:rsidRPr="1AB6159B">
        <w:rPr>
          <w:rFonts w:ascii="Arial" w:hAnsi="Arial" w:cs="Arial"/>
          <w:sz w:val="24"/>
          <w:szCs w:val="24"/>
        </w:rPr>
        <w:t xml:space="preserve">El sistema de fiscalización del complejo de páramos jurisdicción Santurbán-Berlín se estructura sobre la participación articulada de las autoridades públicas, las entidades territoriales, las comunidades, las organizaciones sociales, la academia y los demás actores que, en el ámbito de sus competencias, funciones o formas de organización, contribuyen a la implementación de la resolución de delimitación y al desarrollo de la fase de fiscalización prevista en la Sentencia T-361 de 2017. </w:t>
      </w:r>
    </w:p>
    <w:p w:rsidR="00B61180" w:rsidP="00B61180" w:rsidRDefault="00B61180" w14:paraId="49CCC923" w14:textId="77777777">
      <w:pPr>
        <w:jc w:val="both"/>
        <w:rPr>
          <w:rFonts w:ascii="Arial" w:hAnsi="Arial" w:cs="Arial"/>
          <w:sz w:val="24"/>
          <w:szCs w:val="24"/>
        </w:rPr>
      </w:pPr>
      <w:r w:rsidRPr="1AB6159B">
        <w:rPr>
          <w:rFonts w:ascii="Arial" w:hAnsi="Arial" w:cs="Arial"/>
          <w:sz w:val="24"/>
          <w:szCs w:val="24"/>
        </w:rPr>
        <w:t>En concordancia con los principios desarrollados en el Capítulo 1, el sistema de fiscalización se fundamenta en la coordinación interinstitucional, la concurrencia, la colaboración armónica entre las autoridades públicas, la transparencia, la participación ciudadana y el ejercicio del control social ambiental. En consecuencia, la participación de los actores que integran el sistema no modifica la distribución constitucional o legal de competencias, no crea nuevas funciones administrativas, ni genera obligaciones distintas de las previstas en el ordenamiento jurídico, sino que fortalece la articulación entre las instituciones y las comunidades para la verificación del cumplimiento de las decisiones adoptadas, conforme al alcance de la fase de fiscalización definido por la Corte Constitucional.</w:t>
      </w:r>
    </w:p>
    <w:p w:rsidR="00B61180" w:rsidP="00B61180" w:rsidRDefault="00B61180" w14:paraId="504D147D" w14:textId="77777777">
      <w:pPr>
        <w:jc w:val="both"/>
        <w:rPr>
          <w:rFonts w:ascii="Arial" w:hAnsi="Arial" w:cs="Arial"/>
          <w:sz w:val="24"/>
          <w:szCs w:val="24"/>
        </w:rPr>
      </w:pPr>
      <w:r w:rsidRPr="1AB6159B">
        <w:rPr>
          <w:rFonts w:ascii="Arial" w:hAnsi="Arial" w:cs="Arial"/>
          <w:sz w:val="24"/>
          <w:szCs w:val="24"/>
        </w:rPr>
        <w:t xml:space="preserve">Coherente con este propósito, y con el principio según el cual el sistema debe articular las capacidades institucionales existentes sin generar cargas que excedan las competencias o capacidades de las entidades que lo integran, los actores del sistema se organizan en dos categorías operativas: actores permanentes, que participan de manera continua en el funcionamiento del Sistema y en el desarrollo de los mecanismos de seguimiento, articulación institucional, transparencia y control social; y actores activables, cuya participación se incorpora de acuerdo con la naturaleza de las situaciones, alertas o asuntos objeto de seguimiento, atendiendo las competencias legalmente atribuidas a cada entidad. </w:t>
      </w:r>
    </w:p>
    <w:p w:rsidR="00B61180" w:rsidP="00B61180" w:rsidRDefault="00B61180" w14:paraId="3817D1E8" w14:textId="77777777">
      <w:pPr>
        <w:jc w:val="both"/>
        <w:rPr>
          <w:rFonts w:ascii="Arial" w:hAnsi="Arial" w:cs="Arial"/>
          <w:sz w:val="24"/>
          <w:szCs w:val="24"/>
        </w:rPr>
      </w:pPr>
      <w:r w:rsidRPr="1AB6159B">
        <w:rPr>
          <w:rFonts w:ascii="Arial" w:hAnsi="Arial" w:cs="Arial"/>
          <w:sz w:val="24"/>
          <w:szCs w:val="24"/>
        </w:rPr>
        <w:t xml:space="preserve">Esta organización responde a criterios de eficiencia, coordinación y especialidad funcional, permitiendo que el sistema articule de manera flexible a las entidades competentes según las características de cada situación, sin alterar el marco constitucional y legal de distribución de competencias. Así mismo, el presente capítulo actualiza, desarrolla y complementa el universo de actores presentado a las comunidades durante las fases de consulta, iniciativa y concertación del proceso participativo, manteniendo las categorías construidas conjuntamente durante dichos espacios, entre ellas los actores institucionales de apoyo y articulación, los actores comunitarios y sociales, y los actores de acompañamiento técnico, científico y académico. </w:t>
      </w:r>
    </w:p>
    <w:p w:rsidR="00B61180" w:rsidP="00B61180" w:rsidRDefault="00B61180" w14:paraId="04DC8A9A" w14:textId="77777777">
      <w:pPr>
        <w:jc w:val="both"/>
        <w:rPr>
          <w:rFonts w:ascii="Arial" w:hAnsi="Arial" w:cs="Arial"/>
          <w:sz w:val="24"/>
          <w:szCs w:val="24"/>
        </w:rPr>
      </w:pPr>
      <w:r w:rsidRPr="1AB6159B">
        <w:rPr>
          <w:rFonts w:ascii="Arial" w:hAnsi="Arial" w:cs="Arial"/>
          <w:sz w:val="24"/>
          <w:szCs w:val="24"/>
        </w:rPr>
        <w:t xml:space="preserve">Estas categorías conservan plena vigencia dentro del sistema de fiscalización y se integran al presente documento con el propósito de fortalecer la coordinación institucional, la gestión del conocimiento, la participación permanente de las comunidades y el ejercicio del control social ambiental, en armonía con la Sentencia T-361 de 2017 y con los principios constitucionales que orientan la gestión ambiental. </w:t>
      </w:r>
    </w:p>
    <w:p w:rsidR="00B61180" w:rsidP="00B61180" w:rsidRDefault="00B61180" w14:paraId="1BBDD6D7" w14:textId="77777777">
      <w:pPr>
        <w:jc w:val="both"/>
        <w:rPr>
          <w:rFonts w:ascii="Arial" w:hAnsi="Arial" w:cs="Arial"/>
          <w:sz w:val="24"/>
          <w:szCs w:val="24"/>
        </w:rPr>
      </w:pPr>
      <w:r w:rsidRPr="1AB6159B">
        <w:rPr>
          <w:rFonts w:ascii="Arial" w:hAnsi="Arial" w:cs="Arial"/>
          <w:sz w:val="24"/>
          <w:szCs w:val="24"/>
        </w:rPr>
        <w:t>Finalmente, la participación de los diferentes actores dentro del sistema deberá entenderse como un ejercicio permanente de corresponsabilidad en la protección del ecosistema de páramo, en el cual las autoridades públicas desarrollan las funciones que les asigna el ordenamiento jurídico, mientras que las comunidades y organizaciones sociales participan activamente mediante el ejercicio del control social, el seguimiento a la implementación de la resolución de delimitación y la construcción de procesos de gobernanza ambiental que fortalezcan la conservación y la gestión integral del complejo de páramos jurisdicción Santurbán- Berlín.</w:t>
      </w:r>
    </w:p>
    <w:p w:rsidR="00B61180" w:rsidP="00B61180" w:rsidRDefault="00B61180" w14:paraId="5CE7C5FA" w14:textId="77777777">
      <w:pPr>
        <w:ind w:left="360"/>
        <w:jc w:val="both"/>
        <w:rPr>
          <w:rFonts w:ascii="Arial" w:hAnsi="Arial" w:cs="Arial"/>
          <w:b/>
          <w:bCs/>
          <w:sz w:val="24"/>
          <w:szCs w:val="24"/>
        </w:rPr>
      </w:pPr>
      <w:r w:rsidRPr="00A47C22">
        <w:rPr>
          <w:rFonts w:ascii="Arial" w:hAnsi="Arial" w:cs="Arial"/>
          <w:b/>
          <w:bCs/>
          <w:sz w:val="24"/>
          <w:szCs w:val="24"/>
        </w:rPr>
        <w:t>2.1 Actores permanentes</w:t>
      </w:r>
      <w:r>
        <w:rPr>
          <w:rFonts w:ascii="Arial" w:hAnsi="Arial" w:cs="Arial"/>
          <w:b/>
          <w:bCs/>
          <w:sz w:val="24"/>
          <w:szCs w:val="24"/>
        </w:rPr>
        <w:t xml:space="preserve"> </w:t>
      </w:r>
    </w:p>
    <w:p w:rsidRPr="00A47C22" w:rsidR="00B61180" w:rsidP="00B61180" w:rsidRDefault="00B61180" w14:paraId="42A2F9C9" w14:textId="77777777">
      <w:pPr>
        <w:jc w:val="both"/>
        <w:rPr>
          <w:rFonts w:ascii="Arial" w:hAnsi="Arial" w:cs="Arial"/>
          <w:sz w:val="24"/>
          <w:szCs w:val="24"/>
        </w:rPr>
      </w:pPr>
      <w:r w:rsidRPr="1AB6159B">
        <w:rPr>
          <w:rFonts w:ascii="Arial" w:hAnsi="Arial" w:cs="Arial"/>
          <w:sz w:val="24"/>
          <w:szCs w:val="24"/>
        </w:rPr>
        <w:t xml:space="preserve">Son actores permanentes aquellos cuya participación en el sistema de fiscalización resulta necesaria de manera continua para garantizar el cumplimiento de las funciones de seguimiento, verificación, articulación institucional, transparencia, rendición de cuentas y control social previstas en la Sentencia T-361 de 2017 y desarrolladas en el presente documento. </w:t>
      </w:r>
    </w:p>
    <w:p w:rsidR="00B61180" w:rsidP="00B61180" w:rsidRDefault="00B61180" w14:paraId="0155786D" w14:textId="77777777">
      <w:pPr>
        <w:jc w:val="both"/>
        <w:rPr>
          <w:rFonts w:ascii="Arial" w:hAnsi="Arial" w:cs="Arial"/>
          <w:sz w:val="24"/>
          <w:szCs w:val="24"/>
        </w:rPr>
      </w:pPr>
      <w:r w:rsidRPr="1AB6159B">
        <w:rPr>
          <w:rFonts w:ascii="Arial" w:hAnsi="Arial" w:cs="Arial"/>
          <w:sz w:val="24"/>
          <w:szCs w:val="24"/>
        </w:rPr>
        <w:t xml:space="preserve">Su permanencia dentro del sistema responde a las competencias, funciones, responsabilidades o formas de organización que la Constitución, la ley y el acto administrativo de delimitación les reconocen en relación con la gestión integral del complejo de páramos jurisdicción Santurbán-Berlín. En consecuencia, su participación no deriva de una nueva asignación de competencias, sino de la articulación de las capacidades institucionales y comunitarias existentes para fortalecer la implementación de la resolución de delimitación y la fase de fiscalización entendida como la verificación del cumplimiento de las decisiones adoptadas. </w:t>
      </w:r>
    </w:p>
    <w:p w:rsidR="00B61180" w:rsidP="00B61180" w:rsidRDefault="00B61180" w14:paraId="46F9B05C" w14:textId="77777777">
      <w:pPr>
        <w:jc w:val="both"/>
        <w:rPr>
          <w:rFonts w:ascii="Arial" w:hAnsi="Arial" w:cs="Arial"/>
          <w:sz w:val="24"/>
          <w:szCs w:val="24"/>
        </w:rPr>
      </w:pPr>
      <w:r w:rsidRPr="1AB6159B">
        <w:rPr>
          <w:rFonts w:ascii="Arial" w:hAnsi="Arial" w:cs="Arial"/>
          <w:sz w:val="24"/>
          <w:szCs w:val="24"/>
        </w:rPr>
        <w:t xml:space="preserve">Los actores permanentes constituyen el núcleo estable del sistema de fiscalización y garantizan su funcionamiento continuo, asegurando la circulación de la información, la coordinación entre las entidades competentes, la trazabilidad de las actuaciones administrativas, la rendición de cuentas y el ejercicio permanente del control social por parte de las comunidades. Su actuación se desarrolla respetando el ámbito competencial de cada entidad y bajo los principios de coordinación, concurrencia, colaboración armónica, participación ciudadana, transparencia y acceso a la información ambiental. </w:t>
      </w:r>
    </w:p>
    <w:p w:rsidRPr="00A47C22" w:rsidR="00B61180" w:rsidP="00B61180" w:rsidRDefault="00B61180" w14:paraId="73EF8D31" w14:textId="77777777">
      <w:pPr>
        <w:ind w:left="360"/>
        <w:jc w:val="both"/>
        <w:rPr>
          <w:rFonts w:ascii="Arial" w:hAnsi="Arial" w:cs="Arial"/>
          <w:b/>
          <w:bCs/>
          <w:sz w:val="24"/>
          <w:szCs w:val="24"/>
        </w:rPr>
      </w:pPr>
      <w:r w:rsidRPr="00A47C22">
        <w:rPr>
          <w:rFonts w:ascii="Arial" w:hAnsi="Arial" w:cs="Arial"/>
          <w:b/>
          <w:bCs/>
          <w:sz w:val="24"/>
          <w:szCs w:val="24"/>
        </w:rPr>
        <w:t xml:space="preserve">2.1.1 </w:t>
      </w:r>
      <w:r>
        <w:rPr>
          <w:rFonts w:ascii="Arial" w:hAnsi="Arial" w:cs="Arial"/>
          <w:b/>
          <w:bCs/>
          <w:sz w:val="24"/>
          <w:szCs w:val="24"/>
        </w:rPr>
        <w:t>Autoridades</w:t>
      </w:r>
      <w:r w:rsidRPr="00A47C22">
        <w:rPr>
          <w:rFonts w:ascii="Arial" w:hAnsi="Arial" w:cs="Arial"/>
          <w:b/>
          <w:bCs/>
          <w:sz w:val="24"/>
          <w:szCs w:val="24"/>
        </w:rPr>
        <w:t xml:space="preserve"> ambientales con jurisdicción en el complejo</w:t>
      </w:r>
    </w:p>
    <w:p w:rsidR="00B61180" w:rsidP="00B61180" w:rsidRDefault="00B61180" w14:paraId="480878F3" w14:textId="77777777">
      <w:pPr>
        <w:pStyle w:val="Prrafodelista"/>
        <w:numPr>
          <w:ilvl w:val="0"/>
          <w:numId w:val="39"/>
        </w:numPr>
        <w:jc w:val="both"/>
        <w:rPr>
          <w:rFonts w:ascii="Arial" w:hAnsi="Arial" w:cs="Arial"/>
          <w:sz w:val="24"/>
          <w:szCs w:val="24"/>
        </w:rPr>
      </w:pPr>
      <w:r w:rsidRPr="00A47C22">
        <w:rPr>
          <w:rFonts w:ascii="Arial" w:hAnsi="Arial" w:cs="Arial"/>
          <w:sz w:val="24"/>
          <w:szCs w:val="24"/>
        </w:rPr>
        <w:t>Ministerio de Ambiente y Desarrollo Sostenible (MADS)</w:t>
      </w:r>
    </w:p>
    <w:p w:rsidR="00B61180" w:rsidP="00B61180" w:rsidRDefault="00B61180" w14:paraId="0814EEB4" w14:textId="77777777">
      <w:pPr>
        <w:pStyle w:val="Prrafodelista"/>
        <w:numPr>
          <w:ilvl w:val="0"/>
          <w:numId w:val="39"/>
        </w:numPr>
        <w:jc w:val="both"/>
        <w:rPr>
          <w:rFonts w:ascii="Arial" w:hAnsi="Arial" w:cs="Arial"/>
          <w:sz w:val="24"/>
          <w:szCs w:val="24"/>
        </w:rPr>
      </w:pPr>
      <w:r w:rsidRPr="00A47C22">
        <w:rPr>
          <w:rFonts w:ascii="Arial" w:hAnsi="Arial" w:cs="Arial"/>
          <w:sz w:val="24"/>
          <w:szCs w:val="24"/>
        </w:rPr>
        <w:t>Autoridad Nacional de Licencias Ambientales (ANLA)</w:t>
      </w:r>
    </w:p>
    <w:p w:rsidR="00B61180" w:rsidP="00B61180" w:rsidRDefault="00B61180" w14:paraId="26161C80" w14:textId="77777777">
      <w:pPr>
        <w:pStyle w:val="Prrafodelista"/>
        <w:numPr>
          <w:ilvl w:val="0"/>
          <w:numId w:val="39"/>
        </w:numPr>
        <w:jc w:val="both"/>
        <w:rPr>
          <w:rFonts w:ascii="Arial" w:hAnsi="Arial" w:cs="Arial"/>
          <w:sz w:val="24"/>
          <w:szCs w:val="24"/>
        </w:rPr>
      </w:pPr>
      <w:r w:rsidRPr="00A47C22">
        <w:rPr>
          <w:rFonts w:ascii="Arial" w:hAnsi="Arial" w:cs="Arial"/>
          <w:sz w:val="24"/>
          <w:szCs w:val="24"/>
        </w:rPr>
        <w:t>Corporación Autónoma Regional de la Frontera Nororiental (CORPONOR)</w:t>
      </w:r>
    </w:p>
    <w:p w:rsidR="00B61180" w:rsidP="00B61180" w:rsidRDefault="00B61180" w14:paraId="39501B50" w14:textId="77777777">
      <w:pPr>
        <w:pStyle w:val="Prrafodelista"/>
        <w:numPr>
          <w:ilvl w:val="0"/>
          <w:numId w:val="39"/>
        </w:numPr>
        <w:jc w:val="both"/>
        <w:rPr>
          <w:rFonts w:ascii="Arial" w:hAnsi="Arial" w:cs="Arial"/>
          <w:sz w:val="24"/>
          <w:szCs w:val="24"/>
        </w:rPr>
      </w:pPr>
      <w:r w:rsidRPr="00A47C22">
        <w:rPr>
          <w:rFonts w:ascii="Arial" w:hAnsi="Arial" w:cs="Arial"/>
          <w:sz w:val="24"/>
          <w:szCs w:val="24"/>
        </w:rPr>
        <w:t>Corporación Autónoma Regional para la Defensa de la Meseta de Bucaramanga (CDMB)</w:t>
      </w:r>
    </w:p>
    <w:p w:rsidR="00B61180" w:rsidP="00B61180" w:rsidRDefault="00B61180" w14:paraId="5134AA79" w14:textId="77777777">
      <w:pPr>
        <w:pStyle w:val="Prrafodelista"/>
        <w:numPr>
          <w:ilvl w:val="0"/>
          <w:numId w:val="39"/>
        </w:numPr>
        <w:jc w:val="both"/>
        <w:rPr>
          <w:rFonts w:ascii="Arial" w:hAnsi="Arial" w:cs="Arial"/>
          <w:sz w:val="24"/>
          <w:szCs w:val="24"/>
        </w:rPr>
      </w:pPr>
      <w:r w:rsidRPr="00C17259">
        <w:rPr>
          <w:rFonts w:ascii="Arial" w:hAnsi="Arial" w:cs="Arial"/>
          <w:sz w:val="24"/>
          <w:szCs w:val="24"/>
        </w:rPr>
        <w:t>Instituto de Investigación de Recursos Biológicos Alexander von Humboldt</w:t>
      </w:r>
    </w:p>
    <w:p w:rsidR="00B61180" w:rsidP="00B61180" w:rsidRDefault="00B61180" w14:paraId="6C7CB8B3" w14:textId="77777777">
      <w:pPr>
        <w:numPr>
          <w:ilvl w:val="0"/>
          <w:numId w:val="39"/>
        </w:numPr>
        <w:jc w:val="both"/>
        <w:rPr>
          <w:rFonts w:ascii="Arial" w:hAnsi="Arial" w:cs="Arial"/>
          <w:sz w:val="24"/>
          <w:szCs w:val="24"/>
        </w:rPr>
      </w:pPr>
      <w:r w:rsidRPr="1AB6159B">
        <w:rPr>
          <w:rFonts w:ascii="Arial" w:hAnsi="Arial" w:cs="Arial"/>
          <w:sz w:val="24"/>
          <w:szCs w:val="24"/>
        </w:rPr>
        <w:t xml:space="preserve">Las autoridades ambientales con jurisdicción en el complejo de páramos Santurbán Berlín constituyen actores permanentes del sistema de fiscalización, debido a las competencias que les atribuyen la Constitución Política, la Ley 99 de 1993, la Ley 1930 de 2018 y las demás disposiciones que regulan la administración, conservación, protección, seguimiento, evaluación, control y manejo de los recursos naturales renovables y de los ecosistemas estratégicos. </w:t>
      </w:r>
    </w:p>
    <w:p w:rsidR="00B61180" w:rsidP="00B61180" w:rsidRDefault="00B61180" w14:paraId="07C69594" w14:textId="77777777">
      <w:pPr>
        <w:jc w:val="both"/>
        <w:rPr>
          <w:rFonts w:ascii="Arial" w:hAnsi="Arial" w:cs="Arial"/>
          <w:sz w:val="24"/>
          <w:szCs w:val="24"/>
        </w:rPr>
      </w:pPr>
      <w:r w:rsidRPr="1AB6159B">
        <w:rPr>
          <w:rFonts w:ascii="Arial" w:hAnsi="Arial" w:cs="Arial"/>
          <w:sz w:val="24"/>
          <w:szCs w:val="24"/>
        </w:rPr>
        <w:t xml:space="preserve">Su participación permanente responde a que las decisiones adoptadas en la resolución de delimitación, así como las situaciones que puedan afectar el ecosistema de páramo, requieren la actuación coordinada de las autoridades ambientales competentes dentro del ámbito de su respectiva jurisdicción. En consecuencia, el sistema de fiscalización fortalece la articulación entre dichas autoridades, facilita la trazabilidad de la información y promueve la coordinación institucional necesaria para la implementación de la resolución de delimitación, sin modificar las competencias legalmente atribuidas a cada una de ellas. </w:t>
      </w:r>
    </w:p>
    <w:p w:rsidR="00B61180" w:rsidP="00B61180" w:rsidRDefault="00B61180" w14:paraId="68650DA1" w14:textId="77777777">
      <w:pPr>
        <w:jc w:val="both"/>
        <w:rPr>
          <w:rFonts w:ascii="Arial" w:hAnsi="Arial" w:cs="Arial"/>
          <w:sz w:val="24"/>
          <w:szCs w:val="24"/>
        </w:rPr>
      </w:pPr>
      <w:r w:rsidRPr="1AB6159B">
        <w:rPr>
          <w:rFonts w:ascii="Arial" w:hAnsi="Arial" w:cs="Arial"/>
          <w:sz w:val="24"/>
          <w:szCs w:val="24"/>
        </w:rPr>
        <w:t xml:space="preserve">En desarrollo de la fase de fiscalización prevista por la Sentencia T-361 de 2017, el sistema registra y hace seguimiento a las alertas relacionadas con actividades que puedan afectar el ecosistema de páramo, facilitando su remisión a la autoridad ambiental competente según el ámbito territorial de la situación reportada y haciendo trazable el estado general de las actuaciones adelantadas por cada entidad. Lo anterior tiene como finalidad fortalecer la transparencia institucional, el acceso a la información pública ambiental y el ejercicio del control social por parte de las comunidades, sin sustituir los procedimientos administrativos, las competencias de inspección, vigilancia, control o sanción, ni los canales oficiales de atención establecidos por cada autoridad ambiental. </w:t>
      </w:r>
    </w:p>
    <w:p w:rsidR="00B61180" w:rsidP="00B61180" w:rsidRDefault="00B61180" w14:paraId="07C8C28B" w14:textId="77777777">
      <w:pPr>
        <w:jc w:val="both"/>
        <w:rPr>
          <w:rFonts w:ascii="Arial" w:hAnsi="Arial" w:cs="Arial"/>
          <w:sz w:val="24"/>
          <w:szCs w:val="24"/>
        </w:rPr>
      </w:pPr>
      <w:r w:rsidRPr="1AB6159B">
        <w:rPr>
          <w:rFonts w:ascii="Arial" w:hAnsi="Arial" w:cs="Arial"/>
          <w:sz w:val="24"/>
          <w:szCs w:val="24"/>
        </w:rPr>
        <w:t>Cada una de estas autoridades cuenta con mecanismos propios para la recepción, gestión y trámite de denuncias, peticiones, alertas e información ambiental, los cuales fueron identificados durante el diagnóstico de capacidades institucionales realizado en la construcción del presente sistema. En este sentido, el sistema de fiscalización no reemplaza ni unifica dichos mecanismos, sino que se articula con ellos mediante procesos de intercambio de información, seguimiento, trazabilidad y coordinación institucional, respetando la autonomía administrativa y funcional de cada entidad. Así mismo, las autoridades ambientales participan activamente en la Instancia de Coordinación, en los ejercicios de rendición de cuentas y en los procesos de evaluación y mejora continua del sistema de fiscalización, aportando la información necesaria para verificar el cumplimiento de las decisiones adoptadas en la resolución de delimitación y fortaleciendo la coordinación entre las instituciones y las comunidades en el marco de la gobernanza ambiental del páramo Santurbán Berlín.</w:t>
      </w:r>
    </w:p>
    <w:p w:rsidR="00B61180" w:rsidP="00B61180" w:rsidRDefault="00B61180" w14:paraId="3BDBF4EF" w14:textId="77777777">
      <w:pPr>
        <w:ind w:left="360"/>
        <w:jc w:val="both"/>
        <w:rPr>
          <w:rFonts w:ascii="Arial" w:hAnsi="Arial" w:cs="Arial"/>
          <w:b/>
          <w:bCs/>
          <w:sz w:val="24"/>
          <w:szCs w:val="24"/>
        </w:rPr>
      </w:pPr>
      <w:r w:rsidRPr="005E636B">
        <w:rPr>
          <w:rFonts w:ascii="Arial" w:hAnsi="Arial" w:cs="Arial"/>
          <w:b/>
          <w:bCs/>
          <w:sz w:val="24"/>
          <w:szCs w:val="24"/>
        </w:rPr>
        <w:t>2.1.2 Ministerio de Ambiente y Desarrollo Sostenible</w:t>
      </w:r>
      <w:r>
        <w:rPr>
          <w:rFonts w:ascii="Arial" w:hAnsi="Arial" w:cs="Arial"/>
          <w:b/>
          <w:bCs/>
          <w:sz w:val="24"/>
          <w:szCs w:val="24"/>
        </w:rPr>
        <w:t xml:space="preserve"> </w:t>
      </w:r>
    </w:p>
    <w:p w:rsidR="00B61180" w:rsidP="00B61180" w:rsidRDefault="00B61180" w14:paraId="005055A3" w14:textId="77777777">
      <w:pPr>
        <w:jc w:val="both"/>
        <w:rPr>
          <w:rFonts w:ascii="Arial" w:hAnsi="Arial" w:cs="Arial"/>
          <w:sz w:val="24"/>
          <w:szCs w:val="24"/>
        </w:rPr>
      </w:pPr>
      <w:r w:rsidRPr="1AB6159B">
        <w:rPr>
          <w:rFonts w:ascii="Arial" w:hAnsi="Arial" w:cs="Arial"/>
          <w:sz w:val="24"/>
          <w:szCs w:val="24"/>
        </w:rPr>
        <w:t xml:space="preserve">El Ministerio de Ambiente y Desarrollo Sostenible (MADS) participa como actor permanente del sistema de fiscalización en ejercicio de las competencias que le atribuyen la Constitución Política, la Ley 99 de 1993 y las demás disposiciones que regulan la formulación de la política ambiental, la coordinación del Sistema Nacional Ambiental (SINA) y la gestión de los ecosistemas estratégicos del país. </w:t>
      </w:r>
    </w:p>
    <w:p w:rsidR="00B61180" w:rsidP="00B61180" w:rsidRDefault="00B61180" w14:paraId="24F1F568" w14:textId="77777777">
      <w:pPr>
        <w:jc w:val="both"/>
        <w:rPr>
          <w:rFonts w:ascii="Arial" w:hAnsi="Arial" w:cs="Arial"/>
          <w:sz w:val="24"/>
          <w:szCs w:val="24"/>
        </w:rPr>
      </w:pPr>
      <w:r w:rsidRPr="1AB6159B">
        <w:rPr>
          <w:rFonts w:ascii="Arial" w:hAnsi="Arial" w:cs="Arial"/>
          <w:sz w:val="24"/>
          <w:szCs w:val="24"/>
        </w:rPr>
        <w:t xml:space="preserve">Su participación permanente obedece, además, al mandato específico impartido por la Corte Constitucional en la Sentencia T-361 de 2017, mediante el cual se ordenó la creación de un sistema de fiscalización de la gestión de la resolución de delimitación, así como a la orden proferida por el tribunal administrativo de Santander dentro del trámite de seguimiento al cumplimiento de la sentencia proceso de delimitación participativa del complejo de páramos jurisdicción Santurbán-Berlín. En este contexto, el Ministerio ejerce un rol de coordinación, articulación y orientación general del sistema de fiscalización, promoviendo la interacción entre las autoridades </w:t>
      </w:r>
      <w:r w:rsidRPr="1AB6159B">
        <w:rPr>
          <w:rFonts w:ascii="Arial" w:hAnsi="Arial" w:cs="Arial"/>
          <w:sz w:val="24"/>
          <w:szCs w:val="24"/>
        </w:rPr>
        <w:t>ambientales, las entidades territoriales, las comunidades y los demás actores que participan en su implementación, de conformidad con los principios de coordinación, concurrencia y colaboración armónica previstos en la Constitución Política y en el Sistema Nacional Ambiental.</w:t>
      </w:r>
    </w:p>
    <w:p w:rsidR="00B61180" w:rsidP="00B61180" w:rsidRDefault="00B61180" w14:paraId="71604A2E" w14:textId="77777777">
      <w:pPr>
        <w:jc w:val="both"/>
      </w:pPr>
      <w:r w:rsidRPr="1AB6159B">
        <w:rPr>
          <w:rFonts w:ascii="Arial" w:hAnsi="Arial" w:cs="Arial"/>
          <w:sz w:val="24"/>
          <w:szCs w:val="24"/>
        </w:rPr>
        <w:t>En desarrollo de estas funciones, corresponde al Ministerio impulsar la implementación del sistema de fiscalización, promover la articulación institucional necesaria para su adecuado funcionamiento, consolidar la información generada por sus diferentes componentes, facilitar el funcionamiento de la Instancia de Coordinación y promover los mecanismos de seguimiento, transparencia, acceso a la información y control social previstos en el presente documento, en cumplimiento de la fase de fiscalización definida por la Sentencia T-361 de 2017 como la verificación del cumplimiento de las decisiones adoptadas.</w:t>
      </w:r>
    </w:p>
    <w:p w:rsidR="00B61180" w:rsidP="00B61180" w:rsidRDefault="00B61180" w14:paraId="160AC62B" w14:textId="77777777">
      <w:pPr>
        <w:jc w:val="both"/>
        <w:rPr>
          <w:rFonts w:ascii="Arial" w:hAnsi="Arial" w:cs="Arial"/>
          <w:sz w:val="24"/>
          <w:szCs w:val="24"/>
        </w:rPr>
      </w:pPr>
      <w:r w:rsidRPr="1AB6159B">
        <w:rPr>
          <w:rFonts w:ascii="Arial" w:hAnsi="Arial" w:cs="Arial"/>
          <w:sz w:val="24"/>
          <w:szCs w:val="24"/>
        </w:rPr>
        <w:t>En ningún caso la participación del Ministerio implica la sustitución de las competencias constitucionales o legales atribuidas a las Corporaciones Autónomas Regionales, a Parques Nacionales Naturales de Colombia o a las demás autoridades que intervienen en la gestión del ecosistema de páramo. Su función consiste en articular el funcionamiento del Sistema, fortalecer la coordinación interinstitucional y garantizar las condiciones necesarias para el adecuado desarrollo de la fase de fiscalización, respetando plenamente la autonomía funcional y las competencias propias de cada entidad. Así mismo, el Ministerio promoverá la consolidación y divulgación de la información producida por el Sistema de Fiscalización, con el propósito de fortalecer la transparencia de la gestión pública, facilitar el ejercicio del control social por parte de las comunidades y contribuir al seguimiento permanente de la implementación de la resolución de delimitación.</w:t>
      </w:r>
    </w:p>
    <w:p w:rsidR="00B61180" w:rsidP="00B61180" w:rsidRDefault="00B61180" w14:paraId="3661120C" w14:textId="77777777">
      <w:pPr>
        <w:ind w:left="360"/>
        <w:jc w:val="both"/>
        <w:rPr>
          <w:rFonts w:ascii="Arial" w:hAnsi="Arial" w:cs="Arial"/>
          <w:b/>
          <w:bCs/>
          <w:sz w:val="24"/>
          <w:szCs w:val="24"/>
        </w:rPr>
      </w:pPr>
      <w:r w:rsidRPr="005E636B">
        <w:rPr>
          <w:rFonts w:ascii="Arial" w:hAnsi="Arial" w:cs="Arial"/>
          <w:b/>
          <w:bCs/>
          <w:sz w:val="24"/>
          <w:szCs w:val="24"/>
        </w:rPr>
        <w:t>2.1.3 Entidades territoriales</w:t>
      </w:r>
      <w:r>
        <w:rPr>
          <w:rFonts w:ascii="Arial" w:hAnsi="Arial" w:cs="Arial"/>
          <w:b/>
          <w:bCs/>
          <w:sz w:val="24"/>
          <w:szCs w:val="24"/>
        </w:rPr>
        <w:t xml:space="preserve"> </w:t>
      </w:r>
    </w:p>
    <w:p w:rsidR="00B61180" w:rsidP="00B61180" w:rsidRDefault="00B61180" w14:paraId="44FE3991" w14:textId="77777777">
      <w:pPr>
        <w:jc w:val="both"/>
        <w:rPr>
          <w:rFonts w:ascii="Arial" w:hAnsi="Arial" w:cs="Arial"/>
          <w:sz w:val="24"/>
          <w:szCs w:val="24"/>
        </w:rPr>
      </w:pPr>
      <w:r w:rsidRPr="1AB6159B">
        <w:rPr>
          <w:rFonts w:ascii="Arial" w:hAnsi="Arial" w:cs="Arial"/>
          <w:sz w:val="24"/>
          <w:szCs w:val="24"/>
        </w:rPr>
        <w:t xml:space="preserve">Las entidades territoriales constituyen actores permanentes del sistema de Fiscalización debido a las competencias que la Constitución Política y la ley les atribuyen en materia de ordenamiento territorial, planificación del desarrollo, gestión ambiental, asistencia técnica agropecuaria, participación ciudadana y articulación institucional. Su participación permanente responde a la presencia continua que ejercen sobre el territorio y al papel que desempeñan en la implementación de las decisiones derivadas de la resolución de delimitación. </w:t>
      </w:r>
    </w:p>
    <w:p w:rsidR="00B61180" w:rsidP="00B61180" w:rsidRDefault="00B61180" w14:paraId="67F33608" w14:textId="77777777">
      <w:pPr>
        <w:jc w:val="both"/>
        <w:rPr>
          <w:rFonts w:ascii="Arial" w:hAnsi="Arial" w:cs="Arial"/>
          <w:sz w:val="24"/>
          <w:szCs w:val="24"/>
        </w:rPr>
      </w:pPr>
      <w:r w:rsidRPr="1AB6159B">
        <w:rPr>
          <w:rFonts w:ascii="Arial" w:hAnsi="Arial" w:cs="Arial"/>
          <w:sz w:val="24"/>
          <w:szCs w:val="24"/>
        </w:rPr>
        <w:t xml:space="preserve">En consecuencia, hacen parte de esta categoría las alcaldías municipales y gobernaciones con jurisdicción en el complejo de páramos jurisdicción Santurbán-Berlín y, cuya vinculación al sistema no depende de la ocurrencia de una situación específica o de una alerta determinada, sino del ejercicio permanente de sus competencias constitucionales, legales y administrativas sobre el territorio. Esta condición de actor permanente se sustenta, entre otros, en los siguientes elementos: </w:t>
      </w:r>
    </w:p>
    <w:p w:rsidR="00B61180" w:rsidP="00B61180" w:rsidRDefault="00B61180" w14:paraId="786CC03F" w14:textId="77777777">
      <w:pPr>
        <w:pStyle w:val="Prrafodelista"/>
        <w:numPr>
          <w:ilvl w:val="0"/>
          <w:numId w:val="42"/>
        </w:numPr>
        <w:jc w:val="both"/>
        <w:rPr>
          <w:rFonts w:ascii="Arial" w:hAnsi="Arial" w:cs="Arial"/>
          <w:b/>
          <w:bCs/>
          <w:sz w:val="24"/>
          <w:szCs w:val="24"/>
        </w:rPr>
      </w:pPr>
      <w:r w:rsidRPr="1AB6159B">
        <w:rPr>
          <w:rFonts w:ascii="Arial" w:hAnsi="Arial" w:cs="Arial"/>
          <w:b/>
          <w:bCs/>
          <w:sz w:val="24"/>
          <w:szCs w:val="24"/>
        </w:rPr>
        <w:t xml:space="preserve">Competencias constitucionales y legales en materia de ordenamiento territorial y gestión ambiental </w:t>
      </w:r>
    </w:p>
    <w:p w:rsidRPr="00E92EBC" w:rsidR="00B61180" w:rsidP="00B61180" w:rsidRDefault="00B61180" w14:paraId="7F182DF0" w14:textId="77777777">
      <w:pPr>
        <w:jc w:val="both"/>
        <w:rPr>
          <w:rFonts w:ascii="Arial" w:hAnsi="Arial" w:cs="Arial"/>
          <w:sz w:val="24"/>
          <w:szCs w:val="24"/>
        </w:rPr>
      </w:pPr>
      <w:r w:rsidRPr="1AB6159B">
        <w:rPr>
          <w:rFonts w:ascii="Arial" w:hAnsi="Arial" w:cs="Arial"/>
          <w:sz w:val="24"/>
          <w:szCs w:val="24"/>
        </w:rPr>
        <w:t>Las entidades territoriales ejercen competencias permanentes relacionadas con el ordenamiento del territorio, la reglamentación de los usos del suelo, la planificación del desarrollo local, la protección del ambiente y la articulación con las autoridades ambientales, de conformidad con la Constitución Política, la legislación sobre ordenamiento territorial y las demás normas aplicables. Estas competencias se desarrollan de manera continua y constituyen un elemento esencial para la implementación de la resolución de delimitación y de las acciones orientadas a la protección del ecosistema de páramo.</w:t>
      </w:r>
    </w:p>
    <w:p w:rsidRPr="005E636B" w:rsidR="00B61180" w:rsidP="00B61180" w:rsidRDefault="00B61180" w14:paraId="5DA75688" w14:textId="77777777">
      <w:pPr>
        <w:jc w:val="both"/>
        <w:rPr>
          <w:rFonts w:ascii="Arial" w:hAnsi="Arial" w:cs="Arial"/>
          <w:sz w:val="24"/>
          <w:szCs w:val="24"/>
        </w:rPr>
      </w:pPr>
      <w:r w:rsidRPr="1AB6159B">
        <w:rPr>
          <w:rFonts w:ascii="Arial" w:hAnsi="Arial" w:cs="Arial"/>
          <w:sz w:val="24"/>
          <w:szCs w:val="24"/>
        </w:rPr>
        <w:t>En este contexto, el sistema de fiscalización promueve la articulación con los procesos de planificación territorial y ambiental, facilitando el intercambio de información, la coordinación institucional y la trazabilidad de las actuaciones relacionadas con la implementación de la resolución, sin intervenir en las competencias propias de las entidades territoriales ni en las decisiones que les corresponde adoptar en ejercicio de su autonomía constitucional.</w:t>
      </w:r>
    </w:p>
    <w:p w:rsidRPr="00E92EBC" w:rsidR="00B61180" w:rsidP="00B61180" w:rsidRDefault="00B61180" w14:paraId="77AF9378" w14:textId="77777777">
      <w:pPr>
        <w:pStyle w:val="Prrafodelista"/>
        <w:numPr>
          <w:ilvl w:val="0"/>
          <w:numId w:val="42"/>
        </w:numPr>
        <w:jc w:val="both"/>
        <w:rPr>
          <w:rFonts w:ascii="Arial" w:hAnsi="Arial" w:cs="Arial"/>
          <w:sz w:val="24"/>
          <w:szCs w:val="24"/>
        </w:rPr>
      </w:pPr>
      <w:r w:rsidRPr="1AB6159B">
        <w:rPr>
          <w:rFonts w:ascii="Arial" w:hAnsi="Arial" w:cs="Arial"/>
          <w:b/>
          <w:bCs/>
          <w:sz w:val="24"/>
          <w:szCs w:val="24"/>
        </w:rPr>
        <w:t>Presencia institucional permanente en el territorio</w:t>
      </w:r>
      <w:r w:rsidRPr="1AB6159B">
        <w:rPr>
          <w:rFonts w:ascii="Arial" w:hAnsi="Arial" w:cs="Arial"/>
          <w:sz w:val="24"/>
          <w:szCs w:val="24"/>
        </w:rPr>
        <w:t xml:space="preserve"> </w:t>
      </w:r>
    </w:p>
    <w:p w:rsidR="00B61180" w:rsidP="00B61180" w:rsidRDefault="00B61180" w14:paraId="25B94A4C" w14:textId="77777777">
      <w:pPr>
        <w:jc w:val="both"/>
        <w:rPr>
          <w:rFonts w:ascii="Arial" w:hAnsi="Arial" w:cs="Arial"/>
          <w:sz w:val="24"/>
          <w:szCs w:val="24"/>
        </w:rPr>
      </w:pPr>
      <w:r w:rsidRPr="1AB6159B">
        <w:rPr>
          <w:rFonts w:ascii="Arial" w:hAnsi="Arial" w:cs="Arial"/>
          <w:sz w:val="24"/>
          <w:szCs w:val="24"/>
        </w:rPr>
        <w:t xml:space="preserve">Las entidades territoriales mantienen una presencia institucional continua mediante las dependencias, programas y equipos técnicos que desarrollan funciones relacionadas con la gestión territorial y ambiental, entre ellos las Unidades Municipales de Asistencia Técnica Agropecuaria (UMATA) o las dependencias que hagan sus veces; así como las inspecciones de policía y demás instancias administrativas competentes. Estas instancias constituyen un canal permanente de relacionamiento con las comunidades y desempeñan un papel relevante en el acompañamiento técnico, la orientación institucional, la articulación con las autoridades ambientales y el fortalecimiento de los procesos de participación y control social, dentro del ámbito de las competencias que les asigna el ordenamiento jurídico y de la organización administrativa propia de cada entidad territorial. </w:t>
      </w:r>
    </w:p>
    <w:p w:rsidRPr="00E92EBC" w:rsidR="00B61180" w:rsidP="00B61180" w:rsidRDefault="00B61180" w14:paraId="50640812" w14:textId="77777777">
      <w:pPr>
        <w:pStyle w:val="Prrafodelista"/>
        <w:numPr>
          <w:ilvl w:val="0"/>
          <w:numId w:val="42"/>
        </w:numPr>
        <w:jc w:val="both"/>
        <w:rPr>
          <w:rFonts w:ascii="Arial" w:hAnsi="Arial" w:cs="Arial"/>
          <w:b/>
          <w:bCs/>
          <w:sz w:val="24"/>
          <w:szCs w:val="24"/>
        </w:rPr>
      </w:pPr>
      <w:r w:rsidRPr="1AB6159B">
        <w:rPr>
          <w:rFonts w:ascii="Arial" w:hAnsi="Arial" w:cs="Arial"/>
          <w:b/>
          <w:bCs/>
          <w:sz w:val="24"/>
          <w:szCs w:val="24"/>
        </w:rPr>
        <w:t xml:space="preserve">Primer nivel de articulación con las comunidades </w:t>
      </w:r>
    </w:p>
    <w:p w:rsidR="00B61180" w:rsidP="00B61180" w:rsidRDefault="00B61180" w14:paraId="289678CD" w14:textId="77777777">
      <w:pPr>
        <w:jc w:val="both"/>
      </w:pPr>
      <w:r w:rsidRPr="1AB6159B">
        <w:rPr>
          <w:rFonts w:ascii="Arial" w:hAnsi="Arial" w:cs="Arial"/>
          <w:sz w:val="24"/>
          <w:szCs w:val="24"/>
        </w:rPr>
        <w:t xml:space="preserve">Por su proximidad con las veredas, centros poblados y corregimientos, las entidades territoriales constituyen, en múltiples casos, el primer nivel de interacción institucional con las comunidades que habitan el páramo. Esta cercanía facilita la recepción de información, la orientación inicial frente a las situaciones que puedan afectar el ecosistema y la articulación con las autoridades competentes para la atención de los asuntos que correspondan. En desarrollo de la fase de fiscalización prevista por la Sentencia T-361 de 2017, el Sistema reconoce esta función de cercanía territorial y fortalece los mecanismos de coordinación mediante los cuales las entidades </w:t>
      </w:r>
      <w:r w:rsidRPr="1AB6159B">
        <w:rPr>
          <w:rFonts w:ascii="Arial" w:hAnsi="Arial" w:cs="Arial"/>
          <w:sz w:val="24"/>
          <w:szCs w:val="24"/>
        </w:rPr>
        <w:t xml:space="preserve">territoriales pueden canalizar información, facilitar el seguimiento a las actuaciones institucionales y contribuir al ejercicio del control social por parte de las comunidades, sin sustituir las competencias de las autoridades encargadas de adoptar las decisiones de fondo. </w:t>
      </w:r>
    </w:p>
    <w:p w:rsidR="00B61180" w:rsidP="00B61180" w:rsidRDefault="00B61180" w14:paraId="2FA51748" w14:textId="77777777">
      <w:pPr>
        <w:jc w:val="both"/>
        <w:rPr>
          <w:rFonts w:ascii="Arial" w:hAnsi="Arial" w:cs="Arial"/>
          <w:sz w:val="24"/>
          <w:szCs w:val="24"/>
        </w:rPr>
      </w:pPr>
      <w:r w:rsidRPr="1AB6159B">
        <w:rPr>
          <w:rFonts w:ascii="Arial" w:hAnsi="Arial" w:cs="Arial"/>
          <w:sz w:val="24"/>
          <w:szCs w:val="24"/>
        </w:rPr>
        <w:t xml:space="preserve">Así mismo, las Gobernaciones de Santander y Norte de Santander, junto con sus respectivas dependencias competentes en materia ambiental, de planeación y desarrollo territorial, participan como actores permanentes del Sistema en desarrollo de sus funciones de coordinación, asistencia técnica, apoyo administrativo y articulación regional, complementando las actuaciones de los municipios y de las autoridades ambientales con jurisdicción directa sobre el complejo de páramos. </w:t>
      </w:r>
    </w:p>
    <w:p w:rsidR="00B61180" w:rsidP="00B61180" w:rsidRDefault="00B61180" w14:paraId="6B7AF195" w14:textId="77777777">
      <w:pPr>
        <w:jc w:val="both"/>
        <w:rPr>
          <w:rFonts w:ascii="Arial" w:hAnsi="Arial" w:cs="Arial"/>
          <w:sz w:val="24"/>
          <w:szCs w:val="24"/>
        </w:rPr>
      </w:pPr>
      <w:r w:rsidRPr="1AB6159B">
        <w:rPr>
          <w:rFonts w:ascii="Arial" w:hAnsi="Arial" w:cs="Arial"/>
          <w:sz w:val="24"/>
          <w:szCs w:val="24"/>
        </w:rPr>
        <w:t xml:space="preserve">Su participación fortalece la coordinación interinstitucional, facilita la articulación entre los distintos niveles de la administración pública y contribuye a la implementación integral de la resolución de delimitación, respetando las competencias propias de los municipios, las autoridades ambientales y las demás entidades que integran el Sistema. </w:t>
      </w:r>
    </w:p>
    <w:p w:rsidR="00B61180" w:rsidP="00B61180" w:rsidRDefault="00B61180" w14:paraId="6692C575" w14:textId="77777777">
      <w:pPr>
        <w:jc w:val="both"/>
        <w:rPr>
          <w:rFonts w:ascii="Arial" w:hAnsi="Arial" w:cs="Arial"/>
          <w:sz w:val="24"/>
          <w:szCs w:val="24"/>
        </w:rPr>
      </w:pPr>
      <w:r w:rsidRPr="1AB6159B">
        <w:rPr>
          <w:rFonts w:ascii="Arial" w:hAnsi="Arial" w:cs="Arial"/>
          <w:sz w:val="24"/>
          <w:szCs w:val="24"/>
        </w:rPr>
        <w:t xml:space="preserve">En todo caso, la participación de las entidades territoriales dentro del sistema de Fiscalización se desarrolla exclusivamente en el marco de las competencias que les atribuyen la Constitución y la ley, sin que el presente Sistema implique la creación de nuevas obligaciones funcionales, estructuras administrativas, cargas presupuestales o modificaciones a su organización interna. Su incorporación responde al propósito de fortalecer la coordinación institucional, la transparencia, la trazabilidad de la información y el ejercicio del control social, conforme al modelo de fiscalización permanente previsto en la Sentencia T-361 de 2017. </w:t>
      </w:r>
    </w:p>
    <w:p w:rsidR="00B61180" w:rsidP="00B61180" w:rsidRDefault="00B61180" w14:paraId="27ADFBBD" w14:textId="77777777">
      <w:pPr>
        <w:jc w:val="both"/>
        <w:rPr>
          <w:rFonts w:ascii="Arial" w:hAnsi="Arial" w:cs="Arial"/>
          <w:sz w:val="24"/>
          <w:szCs w:val="24"/>
        </w:rPr>
      </w:pPr>
    </w:p>
    <w:p w:rsidR="00B61180" w:rsidP="00B61180" w:rsidRDefault="00B61180" w14:paraId="589F3A28" w14:textId="77777777">
      <w:pPr>
        <w:ind w:left="360"/>
        <w:jc w:val="both"/>
        <w:rPr>
          <w:rFonts w:ascii="Arial" w:hAnsi="Arial" w:cs="Arial"/>
          <w:b/>
          <w:bCs/>
          <w:sz w:val="24"/>
          <w:szCs w:val="24"/>
        </w:rPr>
      </w:pPr>
      <w:r w:rsidRPr="1AB6159B">
        <w:rPr>
          <w:rFonts w:ascii="Arial" w:hAnsi="Arial" w:cs="Arial"/>
          <w:b/>
          <w:bCs/>
          <w:sz w:val="24"/>
          <w:szCs w:val="24"/>
        </w:rPr>
        <w:t xml:space="preserve">2.1.4 Comunidades habitantes del páramo </w:t>
      </w:r>
    </w:p>
    <w:p w:rsidR="00B61180" w:rsidP="00B61180" w:rsidRDefault="00B61180" w14:paraId="6F86E8B8" w14:textId="77777777">
      <w:pPr>
        <w:jc w:val="both"/>
        <w:rPr>
          <w:rFonts w:ascii="Arial" w:hAnsi="Arial" w:cs="Arial"/>
          <w:sz w:val="24"/>
          <w:szCs w:val="24"/>
        </w:rPr>
      </w:pPr>
      <w:r w:rsidRPr="1AB6159B">
        <w:rPr>
          <w:rFonts w:ascii="Arial" w:hAnsi="Arial" w:cs="Arial"/>
          <w:sz w:val="24"/>
          <w:szCs w:val="24"/>
        </w:rPr>
        <w:t xml:space="preserve">Las comunidades campesinas que habitan, usan, conservan y cuidan el páramo Santurbán Berlín constituyen actores centrales y permanentes del sistema de Fiscalización, en reconocimiento de su estrecha relación con el territorio, de los conocimientos acumulados sobre sus dinámicas ecológicas y sociales, y del papel fundamental que desempeñan en la implementación de la resolución de delimitación y en el ejercicio del control social ambiental previsto por la Sentencia T-361 de 2017. </w:t>
      </w:r>
    </w:p>
    <w:p w:rsidR="00B61180" w:rsidP="00B61180" w:rsidRDefault="00B61180" w14:paraId="259AD308" w14:textId="77777777">
      <w:pPr>
        <w:jc w:val="both"/>
        <w:rPr>
          <w:rFonts w:ascii="Arial" w:hAnsi="Arial" w:cs="Arial"/>
          <w:sz w:val="24"/>
          <w:szCs w:val="24"/>
        </w:rPr>
      </w:pPr>
      <w:r w:rsidRPr="1AB6159B">
        <w:rPr>
          <w:rFonts w:ascii="Arial" w:hAnsi="Arial" w:cs="Arial"/>
          <w:sz w:val="24"/>
          <w:szCs w:val="24"/>
        </w:rPr>
        <w:t xml:space="preserve">En consecuencia, las comunidades no son destinatarias pasivas del sistema de fiscalización, sino sujetos activos de la fase de fiscalización, entendida como la verificación del cumplimiento de las decisiones adoptadas. Su participación permanente materializa el derecho constitucional a la participación en los asuntos ambientales, fortalece la gobernanza del ecosistema de páramo y contribuye al </w:t>
      </w:r>
      <w:r w:rsidRPr="1AB6159B">
        <w:rPr>
          <w:rFonts w:ascii="Arial" w:hAnsi="Arial" w:cs="Arial"/>
          <w:sz w:val="24"/>
          <w:szCs w:val="24"/>
        </w:rPr>
        <w:t xml:space="preserve">cumplimiento del mandato impartido por la Corte Constitucional de garantizar una participación continua durante la implementación de la resolución de delimitación. </w:t>
      </w:r>
    </w:p>
    <w:p w:rsidR="00B61180" w:rsidP="00B61180" w:rsidRDefault="00B61180" w14:paraId="3F9E9ADF" w14:textId="77777777">
      <w:pPr>
        <w:jc w:val="both"/>
        <w:rPr>
          <w:rFonts w:ascii="Arial" w:hAnsi="Arial" w:cs="Arial"/>
          <w:sz w:val="24"/>
          <w:szCs w:val="24"/>
        </w:rPr>
      </w:pPr>
      <w:r w:rsidRPr="1AB6159B">
        <w:rPr>
          <w:rFonts w:ascii="Arial" w:hAnsi="Arial" w:cs="Arial"/>
          <w:sz w:val="24"/>
          <w:szCs w:val="24"/>
        </w:rPr>
        <w:t>La observación cotidiana que las comunidades realizan sobre el territorio constituye una de las principales fuentes de información del sistema de fiscalización. Su conocimiento directo de las dinámicas ambientales, sociales y productivas del páramo permite identificar oportunamente situaciones que puedan afectar el ecosistema, registrar cambios en el territorio, formular alertas, aportar información para el seguimiento de la implementación de la resolución de delimitación y fortalecer los procesos de control social, transparencia y rendición de cuentas.</w:t>
      </w:r>
    </w:p>
    <w:p w:rsidR="00B61180" w:rsidP="00B61180" w:rsidRDefault="00B61180" w14:paraId="42A822FF" w14:textId="77777777">
      <w:pPr>
        <w:jc w:val="both"/>
        <w:rPr>
          <w:rFonts w:ascii="Arial" w:hAnsi="Arial" w:cs="Arial"/>
          <w:sz w:val="24"/>
          <w:szCs w:val="24"/>
        </w:rPr>
      </w:pPr>
      <w:r w:rsidRPr="1AB6159B">
        <w:rPr>
          <w:rFonts w:ascii="Arial" w:hAnsi="Arial" w:cs="Arial"/>
          <w:sz w:val="24"/>
          <w:szCs w:val="24"/>
        </w:rPr>
        <w:t xml:space="preserve">Esta categoría comprende, de manera enunciativa y no taxativa, a las comunidades campesinas habitantes del páramo y demás habitantes del complejo, las Juntas de Acción Comunal (JAC) y sus asociaciones, los acueductos comunitarios y veredales, las organizaciones sociales y comunitarias, las organizaciones de productores, las asociaciones ambientales, las organizaciones de mujeres, jóvenes y demás expresiones organizativas presentes en el territorio, así como las comunidades urbano-paramunas ubicadas en sectores de borde y en asentamientos preexistentes que presentan dinámicas particulares de interacción con el ecosistema de páramo. </w:t>
      </w:r>
    </w:p>
    <w:p w:rsidR="00B61180" w:rsidP="00B61180" w:rsidRDefault="00B61180" w14:paraId="47535D23" w14:textId="77777777">
      <w:pPr>
        <w:jc w:val="both"/>
        <w:rPr>
          <w:rFonts w:ascii="Arial" w:hAnsi="Arial" w:cs="Arial"/>
          <w:sz w:val="24"/>
          <w:szCs w:val="24"/>
        </w:rPr>
      </w:pPr>
      <w:r w:rsidRPr="1AB6159B">
        <w:rPr>
          <w:rFonts w:ascii="Arial" w:hAnsi="Arial" w:cs="Arial"/>
          <w:sz w:val="24"/>
          <w:szCs w:val="24"/>
        </w:rPr>
        <w:t xml:space="preserve">La participación de estos actores se desarrollará respetando las características propias de cada comunidad, sus formas de organización, sus mecanismos de representación y sus procesos de toma de decisiones, reconociendo la diversidad social, cultural y territorial existente en el complejo de páramos jurisdicción Santurbán-Berlín. </w:t>
      </w:r>
    </w:p>
    <w:p w:rsidR="00B61180" w:rsidP="00B61180" w:rsidRDefault="00B61180" w14:paraId="6428F303" w14:textId="77777777">
      <w:pPr>
        <w:jc w:val="both"/>
        <w:rPr>
          <w:rFonts w:ascii="Arial" w:hAnsi="Arial" w:cs="Arial"/>
          <w:sz w:val="24"/>
          <w:szCs w:val="24"/>
        </w:rPr>
      </w:pPr>
      <w:r w:rsidRPr="1AB6159B">
        <w:rPr>
          <w:rFonts w:ascii="Arial" w:hAnsi="Arial" w:cs="Arial"/>
          <w:sz w:val="24"/>
          <w:szCs w:val="24"/>
        </w:rPr>
        <w:t>En desarrollo del sistema de fiscalización, las comunidades participan, entre otras actividades, en la identificación y reporte de situaciones que puedan afectar el páramo, en el seguimiento a la implementación de la resolución de delimitación, en los procesos de evaluación y mejora continua del sistema, en los espacios de deliberación de la Instancia de Coordinación, en los ejercicios de rendición de cuentas y, especialmente, en el ejercicio permanente del control social ambiental, mediante el cual verifican el cumplimiento de los compromisos asumidos por las instituciones, realizan seguimiento a las actuaciones adelantadas por las entidades competentes y contribuyen a fortalecer la transparencia, la trazabilidad y la confianza entre la institucionalidad y las comunidades.</w:t>
      </w:r>
    </w:p>
    <w:p w:rsidR="00B61180" w:rsidP="00B61180" w:rsidRDefault="00B61180" w14:paraId="11FF9821" w14:textId="77777777">
      <w:pPr>
        <w:jc w:val="both"/>
      </w:pPr>
      <w:r w:rsidRPr="1AB6159B">
        <w:rPr>
          <w:rFonts w:ascii="Arial" w:hAnsi="Arial" w:cs="Arial"/>
          <w:sz w:val="24"/>
          <w:szCs w:val="24"/>
        </w:rPr>
        <w:t xml:space="preserve">En consecuencia, el sistema de fiscalización reconoce que la protección efectiva del páramo no depende exclusivamente de la actuación de las autoridades públicas, sino también de la participación activa, informada y permanente de las comunidades que lo habitan y protegen. Por ello, el Sistema promoverá las condiciones necesarias para garantizar su acceso oportuno a la información pública ambiental, su participación efectiva en los espacios de articulación institucional y el fortalecimiento </w:t>
      </w:r>
      <w:r w:rsidRPr="1AB6159B">
        <w:rPr>
          <w:rFonts w:ascii="Arial" w:hAnsi="Arial" w:cs="Arial"/>
          <w:sz w:val="24"/>
          <w:szCs w:val="24"/>
        </w:rPr>
        <w:t>de sus capacidades para ejercer el control social, en armonía con los principios de participación, transparencia, corresponsabilidad, acceso a la información ambiental y gobernanza participativa que orientan la implementación de la Sentencia T-361 de 2017.</w:t>
      </w:r>
    </w:p>
    <w:p w:rsidR="00B61180" w:rsidP="00B61180" w:rsidRDefault="00B61180" w14:paraId="157BDBE5" w14:textId="77777777">
      <w:pPr>
        <w:jc w:val="both"/>
      </w:pPr>
      <w:r w:rsidRPr="1AB6159B">
        <w:rPr>
          <w:rFonts w:ascii="Arial" w:hAnsi="Arial" w:cs="Arial"/>
          <w:sz w:val="24"/>
          <w:szCs w:val="24"/>
        </w:rPr>
        <w:t xml:space="preserve">2.1.5 Gestores de páramos y veedurías ciudadanas </w:t>
      </w:r>
    </w:p>
    <w:p w:rsidR="00B61180" w:rsidP="00B61180" w:rsidRDefault="00B61180" w14:paraId="4BAF929E" w14:textId="77777777">
      <w:pPr>
        <w:jc w:val="both"/>
      </w:pPr>
      <w:r w:rsidRPr="1AB6159B">
        <w:rPr>
          <w:rFonts w:ascii="Arial" w:hAnsi="Arial" w:cs="Arial"/>
          <w:sz w:val="24"/>
          <w:szCs w:val="24"/>
        </w:rPr>
        <w:t xml:space="preserve">En función de los aportes recibidos durante la fase de concertación en los municipios del complejo de páramos jurisdicción Santurbán-Berlín, la comunidad solicitó la inclusión de dos instancias compuestas por habitantes del páramo y de los municipios correspondientes: los gestores de páramos y las veedurías ciudadanas. </w:t>
      </w:r>
    </w:p>
    <w:p w:rsidR="00B61180" w:rsidP="00B61180" w:rsidRDefault="00B61180" w14:paraId="29989A9B" w14:textId="77777777">
      <w:pPr>
        <w:jc w:val="both"/>
      </w:pPr>
      <w:r w:rsidRPr="1AB6159B">
        <w:rPr>
          <w:rFonts w:ascii="Arial" w:hAnsi="Arial" w:eastAsia="Arial" w:cs="Arial"/>
          <w:sz w:val="24"/>
          <w:szCs w:val="24"/>
        </w:rPr>
        <w:t xml:space="preserve">En el marco del sistema de fiscalización, y respetando lo reglamentado por la Resolución 814 de 2026 en su artículo 8, los gestores deberán desarrollar tareas de monitoreo, control y seguimiento con el apoyo y financiación de los organismos competentes, de conformidad con los lineamientos y estrategias que se definan para tal fin en el respectivo Plan de Manejo del Páramo. </w:t>
      </w:r>
    </w:p>
    <w:p w:rsidRPr="00FC4BE6" w:rsidR="00B61180" w:rsidP="00B61180" w:rsidRDefault="00B61180" w14:paraId="5E6FF2AA" w14:textId="77777777">
      <w:pPr>
        <w:jc w:val="both"/>
        <w:rPr>
          <w:rFonts w:ascii="Arial" w:hAnsi="Arial" w:eastAsia="Arial" w:cs="Arial"/>
          <w:sz w:val="24"/>
          <w:szCs w:val="24"/>
        </w:rPr>
      </w:pPr>
      <w:r w:rsidRPr="1AB6159B">
        <w:rPr>
          <w:rFonts w:ascii="Arial" w:hAnsi="Arial" w:eastAsia="Arial" w:cs="Arial"/>
          <w:sz w:val="24"/>
          <w:szCs w:val="24"/>
        </w:rPr>
        <w:t>Así mismo, en relación con las veedurías Ciudadanas, y conforme a lo reglamentado en la Ley 850 de 2003. estas deberán ejercer vigilancia sobre la gestión pública, respecto a las autoridades, administrativas, políticas, judiciales, electorales, legislativas y órganos de control; así como de las entidades públicas o privadas, organizaciones no gubernamentales de carácter nacional o internacional que operen en el país, encargadas de la ejecución de un programa, proyecto, contrato o de la prestación de un servicio público.</w:t>
      </w:r>
    </w:p>
    <w:p w:rsidR="00B61180" w:rsidP="00B61180" w:rsidRDefault="00B61180" w14:paraId="07BD531B" w14:textId="77777777">
      <w:pPr>
        <w:ind w:left="360"/>
        <w:jc w:val="both"/>
        <w:rPr>
          <w:rFonts w:ascii="Arial" w:hAnsi="Arial" w:cs="Arial"/>
          <w:b/>
          <w:bCs/>
          <w:sz w:val="24"/>
          <w:szCs w:val="24"/>
        </w:rPr>
      </w:pPr>
      <w:r w:rsidRPr="009E029B">
        <w:rPr>
          <w:rFonts w:ascii="Arial" w:hAnsi="Arial" w:cs="Arial"/>
          <w:b/>
          <w:bCs/>
          <w:sz w:val="24"/>
          <w:szCs w:val="24"/>
        </w:rPr>
        <w:t>2.2 Actores activables</w:t>
      </w:r>
      <w:r>
        <w:rPr>
          <w:rFonts w:ascii="Arial" w:hAnsi="Arial" w:cs="Arial"/>
          <w:b/>
          <w:bCs/>
          <w:sz w:val="24"/>
          <w:szCs w:val="24"/>
        </w:rPr>
        <w:t xml:space="preserve"> </w:t>
      </w:r>
    </w:p>
    <w:p w:rsidR="00B61180" w:rsidP="00B61180" w:rsidRDefault="00B61180" w14:paraId="0529E324" w14:textId="77777777">
      <w:pPr>
        <w:jc w:val="both"/>
        <w:rPr>
          <w:rFonts w:ascii="Arial" w:hAnsi="Arial" w:cs="Arial"/>
          <w:sz w:val="24"/>
          <w:szCs w:val="24"/>
        </w:rPr>
      </w:pPr>
      <w:r w:rsidRPr="1AB6159B">
        <w:rPr>
          <w:rFonts w:ascii="Arial" w:hAnsi="Arial" w:cs="Arial"/>
          <w:sz w:val="24"/>
          <w:szCs w:val="24"/>
        </w:rPr>
        <w:t xml:space="preserve">Los actores activables son aquellas entidades e instituciones cuya participación dentro del sistema de fiscalización se produce únicamente cuando la naturaleza de una situación, alerta o asunto objeto de seguimiento corresponde al ámbito de sus competencias constitucionales o legales. A diferencia de los actores permanentes, su intervención no es continua, sino que se activa de manera puntual, conforme a la materia objeto de análisis y a las funciones que el ordenamiento jurídico les atribuye. </w:t>
      </w:r>
    </w:p>
    <w:p w:rsidR="00B61180" w:rsidP="00B61180" w:rsidRDefault="00B61180" w14:paraId="32FB95A0" w14:textId="77777777">
      <w:pPr>
        <w:jc w:val="both"/>
        <w:rPr>
          <w:rFonts w:ascii="Arial" w:hAnsi="Arial" w:cs="Arial"/>
          <w:sz w:val="24"/>
          <w:szCs w:val="24"/>
        </w:rPr>
      </w:pPr>
      <w:r w:rsidRPr="1AB6159B">
        <w:rPr>
          <w:rFonts w:ascii="Arial" w:hAnsi="Arial" w:cs="Arial"/>
          <w:sz w:val="24"/>
          <w:szCs w:val="24"/>
        </w:rPr>
        <w:t xml:space="preserve">Su participación se materializa mediante los mecanismos de articulación, intercambio de información, remisión o traslado previstos en los procedimientos operativos del sistema de fiscalización, con el propósito de garantizar que cada situación sea conocida por la autoridad competente, asegurar la trazabilidad de las actuaciones institucionales y fortalecer la coordinación entre las entidades involucradas, sin modificar la distribución constitucional y legal de competencias ni crear nuevas obligaciones funcionales. En desarrollo de este esquema, podrán activarse, entre otras, las siguientes entidades: </w:t>
      </w:r>
    </w:p>
    <w:p w:rsidR="00B61180" w:rsidP="00B61180" w:rsidRDefault="00B61180" w14:paraId="78A7E1C7" w14:textId="77777777">
      <w:pPr>
        <w:ind w:left="360"/>
        <w:jc w:val="both"/>
        <w:rPr>
          <w:rFonts w:ascii="Arial" w:hAnsi="Arial" w:cs="Arial"/>
          <w:sz w:val="24"/>
          <w:szCs w:val="24"/>
        </w:rPr>
      </w:pPr>
      <w:r w:rsidRPr="1AB6159B">
        <w:rPr>
          <w:rFonts w:ascii="Arial" w:hAnsi="Arial" w:cs="Arial"/>
          <w:sz w:val="24"/>
          <w:szCs w:val="24"/>
        </w:rPr>
        <w:t xml:space="preserve">• </w:t>
      </w:r>
      <w:r w:rsidRPr="1AB6159B">
        <w:rPr>
          <w:rFonts w:ascii="Arial" w:hAnsi="Arial" w:cs="Arial"/>
          <w:b/>
          <w:bCs/>
          <w:sz w:val="24"/>
          <w:szCs w:val="24"/>
        </w:rPr>
        <w:t xml:space="preserve">Agencia Nacional de Minería (ANM): </w:t>
      </w:r>
      <w:r w:rsidRPr="1AB6159B">
        <w:rPr>
          <w:rFonts w:ascii="Arial" w:hAnsi="Arial" w:cs="Arial"/>
          <w:sz w:val="24"/>
          <w:szCs w:val="24"/>
        </w:rPr>
        <w:t xml:space="preserve">para las situaciones relacionadas con títulos mineros vigentes, actividades mineras o cualquier otra actuación de su competencia que pueda afectar el ecosistema de páramo. </w:t>
      </w:r>
    </w:p>
    <w:p w:rsidR="00B61180" w:rsidP="00B61180" w:rsidRDefault="00B61180" w14:paraId="5B8D9A82" w14:textId="77777777">
      <w:pPr>
        <w:ind w:left="360"/>
        <w:jc w:val="both"/>
        <w:rPr>
          <w:rFonts w:ascii="Arial" w:hAnsi="Arial" w:cs="Arial"/>
          <w:sz w:val="24"/>
          <w:szCs w:val="24"/>
        </w:rPr>
      </w:pPr>
      <w:r w:rsidRPr="1AB6159B">
        <w:rPr>
          <w:rFonts w:ascii="Arial" w:hAnsi="Arial" w:cs="Arial"/>
          <w:sz w:val="24"/>
          <w:szCs w:val="24"/>
        </w:rPr>
        <w:t>•</w:t>
      </w:r>
      <w:r w:rsidRPr="1AB6159B">
        <w:rPr>
          <w:rFonts w:ascii="Arial" w:hAnsi="Arial" w:cs="Arial"/>
          <w:b/>
          <w:bCs/>
          <w:sz w:val="24"/>
          <w:szCs w:val="24"/>
        </w:rPr>
        <w:t xml:space="preserve"> Fiscalía general de la Nación:</w:t>
      </w:r>
      <w:r w:rsidRPr="1AB6159B">
        <w:rPr>
          <w:rFonts w:ascii="Arial" w:hAnsi="Arial" w:cs="Arial"/>
          <w:sz w:val="24"/>
          <w:szCs w:val="24"/>
        </w:rPr>
        <w:t xml:space="preserve"> cuando los hechos reportados puedan constituir conductas con relevancia penal, particularmente delitos contra los recursos naturales y el medio ambiente u otras conductas tipificadas en la legislación penal. </w:t>
      </w:r>
    </w:p>
    <w:p w:rsidR="00B61180" w:rsidP="00B61180" w:rsidRDefault="00B61180" w14:paraId="626D59F2" w14:textId="77777777">
      <w:pPr>
        <w:ind w:left="360"/>
        <w:jc w:val="both"/>
        <w:rPr>
          <w:rFonts w:ascii="Arial" w:hAnsi="Arial" w:cs="Arial"/>
          <w:sz w:val="24"/>
          <w:szCs w:val="24"/>
        </w:rPr>
      </w:pPr>
      <w:r w:rsidRPr="1AB6159B">
        <w:rPr>
          <w:rFonts w:ascii="Arial" w:hAnsi="Arial" w:cs="Arial"/>
          <w:sz w:val="24"/>
          <w:szCs w:val="24"/>
        </w:rPr>
        <w:t>•</w:t>
      </w:r>
      <w:r w:rsidRPr="1AB6159B">
        <w:rPr>
          <w:rFonts w:ascii="Arial" w:hAnsi="Arial" w:cs="Arial"/>
          <w:b/>
          <w:bCs/>
          <w:sz w:val="24"/>
          <w:szCs w:val="24"/>
        </w:rPr>
        <w:t xml:space="preserve"> Fuerza Pública</w:t>
      </w:r>
      <w:r w:rsidRPr="1AB6159B">
        <w:rPr>
          <w:rFonts w:ascii="Arial" w:hAnsi="Arial" w:cs="Arial"/>
          <w:sz w:val="24"/>
          <w:szCs w:val="24"/>
        </w:rPr>
        <w:t xml:space="preserve">: para brindar apoyo a las autoridades competentes cuando las condiciones de seguridad, orden público o presencia de actividades ilegales así lo requieran, en el marco de las competencias previstas en la Constitución y la ley. </w:t>
      </w:r>
    </w:p>
    <w:p w:rsidR="00B61180" w:rsidP="00B61180" w:rsidRDefault="00B61180" w14:paraId="18208843" w14:textId="77777777">
      <w:pPr>
        <w:ind w:left="360"/>
        <w:jc w:val="both"/>
        <w:rPr>
          <w:rFonts w:ascii="Arial" w:hAnsi="Arial" w:cs="Arial"/>
          <w:sz w:val="24"/>
          <w:szCs w:val="24"/>
        </w:rPr>
      </w:pPr>
      <w:r w:rsidRPr="1AB6159B">
        <w:rPr>
          <w:rFonts w:ascii="Arial" w:hAnsi="Arial" w:cs="Arial"/>
          <w:sz w:val="24"/>
          <w:szCs w:val="24"/>
        </w:rPr>
        <w:t xml:space="preserve">• </w:t>
      </w:r>
      <w:r w:rsidRPr="1AB6159B">
        <w:rPr>
          <w:rFonts w:ascii="Arial" w:hAnsi="Arial" w:cs="Arial"/>
          <w:b/>
          <w:bCs/>
          <w:sz w:val="24"/>
          <w:szCs w:val="24"/>
        </w:rPr>
        <w:t>Ministerio de Vivienda, Ciudad y Territorio:</w:t>
      </w:r>
      <w:r w:rsidRPr="1AB6159B">
        <w:rPr>
          <w:rFonts w:ascii="Arial" w:hAnsi="Arial" w:cs="Arial"/>
          <w:sz w:val="24"/>
          <w:szCs w:val="24"/>
        </w:rPr>
        <w:t xml:space="preserve"> respecto de asuntos relacionados con saneamiento básico rural, abastecimiento de agua potable, fortalecimiento de acueductos comunitarios y demás materias de su competencia. </w:t>
      </w:r>
    </w:p>
    <w:p w:rsidR="00B61180" w:rsidP="00B61180" w:rsidRDefault="00B61180" w14:paraId="331822AB" w14:textId="77777777">
      <w:pPr>
        <w:ind w:left="360"/>
        <w:jc w:val="both"/>
        <w:rPr>
          <w:rFonts w:ascii="Arial" w:hAnsi="Arial" w:cs="Arial"/>
          <w:sz w:val="24"/>
          <w:szCs w:val="24"/>
        </w:rPr>
      </w:pPr>
      <w:r w:rsidRPr="1AB6159B">
        <w:rPr>
          <w:rFonts w:ascii="Arial" w:hAnsi="Arial" w:cs="Arial"/>
          <w:b/>
          <w:bCs/>
          <w:sz w:val="24"/>
          <w:szCs w:val="24"/>
        </w:rPr>
        <w:t>• Servicio Nacional de Aprendizaje (SENA):</w:t>
      </w:r>
      <w:r w:rsidRPr="1AB6159B">
        <w:rPr>
          <w:rFonts w:ascii="Arial" w:hAnsi="Arial" w:cs="Arial"/>
          <w:sz w:val="24"/>
          <w:szCs w:val="24"/>
        </w:rPr>
        <w:t xml:space="preserve"> para apoyar procesos de formación técnica, capacitación, fortalecimiento de capacidades y desarrollo de competencias laborales relacionadas con la gestión integral del páramo y los procesos de reconversión productiva. </w:t>
      </w:r>
    </w:p>
    <w:p w:rsidR="00B61180" w:rsidP="00B61180" w:rsidRDefault="00B61180" w14:paraId="3FF6DA08" w14:textId="77777777">
      <w:pPr>
        <w:ind w:left="360"/>
        <w:jc w:val="both"/>
        <w:rPr>
          <w:rFonts w:ascii="Arial" w:hAnsi="Arial" w:cs="Arial"/>
          <w:sz w:val="24"/>
          <w:szCs w:val="24"/>
        </w:rPr>
      </w:pPr>
      <w:r w:rsidRPr="1AB6159B">
        <w:rPr>
          <w:rFonts w:ascii="Arial" w:hAnsi="Arial" w:cs="Arial"/>
          <w:sz w:val="24"/>
          <w:szCs w:val="24"/>
        </w:rPr>
        <w:t>•</w:t>
      </w:r>
      <w:r w:rsidRPr="1AB6159B">
        <w:rPr>
          <w:rFonts w:ascii="Arial" w:hAnsi="Arial" w:cs="Arial"/>
          <w:b/>
          <w:bCs/>
          <w:sz w:val="24"/>
          <w:szCs w:val="24"/>
        </w:rPr>
        <w:t xml:space="preserve"> Ministerio de Agricultura y Desarrollo Rural:</w:t>
      </w:r>
      <w:r w:rsidRPr="1AB6159B">
        <w:rPr>
          <w:rFonts w:ascii="Arial" w:hAnsi="Arial" w:cs="Arial"/>
          <w:sz w:val="24"/>
          <w:szCs w:val="24"/>
        </w:rPr>
        <w:t xml:space="preserve"> en lo relacionado con la formulación, articulación y fortalecimiento de la oferta institucional para los procesos de reconversión y sustitución de actividades agropecuarias, así como en las políticas de desarrollo rural y demás materias de su competencia. </w:t>
      </w:r>
    </w:p>
    <w:p w:rsidR="00B61180" w:rsidP="00B61180" w:rsidRDefault="00B61180" w14:paraId="7C172B8F" w14:textId="77777777">
      <w:pPr>
        <w:ind w:left="360"/>
        <w:jc w:val="both"/>
        <w:rPr>
          <w:rFonts w:ascii="Arial" w:hAnsi="Arial" w:cs="Arial"/>
          <w:sz w:val="24"/>
          <w:szCs w:val="24"/>
        </w:rPr>
      </w:pPr>
      <w:r w:rsidRPr="1AB6159B">
        <w:rPr>
          <w:rFonts w:ascii="Arial" w:hAnsi="Arial" w:cs="Arial"/>
          <w:sz w:val="24"/>
          <w:szCs w:val="24"/>
        </w:rPr>
        <w:t>•</w:t>
      </w:r>
      <w:r w:rsidRPr="1AB6159B">
        <w:rPr>
          <w:rFonts w:ascii="Arial" w:hAnsi="Arial" w:cs="Arial"/>
          <w:b/>
          <w:bCs/>
          <w:sz w:val="24"/>
          <w:szCs w:val="24"/>
        </w:rPr>
        <w:t xml:space="preserve"> Agencia Nacional de Tierras (ANT):</w:t>
      </w:r>
      <w:r w:rsidRPr="1AB6159B">
        <w:rPr>
          <w:rFonts w:ascii="Arial" w:hAnsi="Arial" w:cs="Arial"/>
          <w:sz w:val="24"/>
          <w:szCs w:val="24"/>
        </w:rPr>
        <w:t xml:space="preserve"> respecto de los procedimientos relacionados con la delimitación, constitución y consolidación de las Zonas de Reserva Campesina y los demás asuntos de administración de tierras que le correspondan conforme a la ley. </w:t>
      </w:r>
    </w:p>
    <w:p w:rsidR="00B61180" w:rsidP="00B61180" w:rsidRDefault="00B61180" w14:paraId="1FEF182B" w14:textId="77777777">
      <w:pPr>
        <w:ind w:left="360"/>
        <w:jc w:val="both"/>
        <w:rPr>
          <w:rFonts w:ascii="Arial" w:hAnsi="Arial" w:cs="Arial"/>
          <w:sz w:val="24"/>
          <w:szCs w:val="24"/>
        </w:rPr>
      </w:pPr>
      <w:r w:rsidRPr="1AB6159B">
        <w:rPr>
          <w:rFonts w:ascii="Arial" w:hAnsi="Arial" w:cs="Arial"/>
          <w:b/>
          <w:bCs/>
          <w:sz w:val="24"/>
          <w:szCs w:val="24"/>
        </w:rPr>
        <w:t>• Procuraduría General de la Nación y personerías municipales:</w:t>
      </w:r>
      <w:r w:rsidRPr="1AB6159B">
        <w:rPr>
          <w:rFonts w:ascii="Arial" w:hAnsi="Arial" w:cs="Arial"/>
          <w:sz w:val="24"/>
          <w:szCs w:val="24"/>
        </w:rPr>
        <w:t xml:space="preserve"> en ejercicio de las funciones de vigilancia preventiva, control disciplinario, intervención administrativa y protección del orden jurídico, incluyendo la actuación de las Procuradurías delegadas y Procuradurías Judiciales con competencia en asuntos ambientales y agrarios. </w:t>
      </w:r>
    </w:p>
    <w:p w:rsidR="00B61180" w:rsidP="00B61180" w:rsidRDefault="00B61180" w14:paraId="327EEFFB" w14:textId="77777777">
      <w:pPr>
        <w:ind w:left="360"/>
        <w:jc w:val="both"/>
        <w:rPr>
          <w:rFonts w:ascii="Arial" w:hAnsi="Arial" w:cs="Arial"/>
          <w:sz w:val="24"/>
          <w:szCs w:val="24"/>
        </w:rPr>
      </w:pPr>
      <w:r w:rsidRPr="1AB6159B">
        <w:rPr>
          <w:rFonts w:ascii="Arial" w:hAnsi="Arial" w:cs="Arial"/>
          <w:b/>
          <w:bCs/>
          <w:sz w:val="24"/>
          <w:szCs w:val="24"/>
        </w:rPr>
        <w:t>• Defensoría del Pueblo y personerías municipales</w:t>
      </w:r>
      <w:r w:rsidRPr="1AB6159B">
        <w:rPr>
          <w:rFonts w:ascii="Arial" w:hAnsi="Arial" w:cs="Arial"/>
          <w:sz w:val="24"/>
          <w:szCs w:val="24"/>
        </w:rPr>
        <w:t xml:space="preserve">: para el acompañamiento a las comunidades, la promoción y protección de los derechos humanos, el fortalecimiento de los mecanismos de participación ciudadana y la atención de situaciones que afecten a líderes sociales, ambientales o denunciantes. </w:t>
      </w:r>
    </w:p>
    <w:p w:rsidR="00B61180" w:rsidP="00B61180" w:rsidRDefault="00B61180" w14:paraId="4AC9392A" w14:textId="77777777">
      <w:pPr>
        <w:ind w:left="360"/>
        <w:jc w:val="both"/>
        <w:rPr>
          <w:rFonts w:ascii="Arial" w:hAnsi="Arial" w:cs="Arial"/>
          <w:sz w:val="24"/>
          <w:szCs w:val="24"/>
        </w:rPr>
      </w:pPr>
      <w:r w:rsidRPr="1AB6159B">
        <w:rPr>
          <w:rFonts w:ascii="Arial" w:hAnsi="Arial" w:cs="Arial"/>
          <w:b/>
          <w:bCs/>
          <w:sz w:val="24"/>
          <w:szCs w:val="24"/>
        </w:rPr>
        <w:t>• Contraloría General de la República y contralorías territoriales:</w:t>
      </w:r>
      <w:r w:rsidRPr="1AB6159B">
        <w:rPr>
          <w:rFonts w:ascii="Arial" w:hAnsi="Arial" w:cs="Arial"/>
          <w:sz w:val="24"/>
          <w:szCs w:val="24"/>
        </w:rPr>
        <w:t xml:space="preserve"> en el ejercicio del control fiscal sobre los recursos públicos destinados a la implementación de la resolución de delimitación y a la gestión integral del páramo. </w:t>
      </w:r>
    </w:p>
    <w:p w:rsidR="00B61180" w:rsidP="00B61180" w:rsidRDefault="00B61180" w14:paraId="24A2D6F4" w14:textId="77777777">
      <w:pPr>
        <w:ind w:left="360"/>
        <w:jc w:val="both"/>
        <w:rPr>
          <w:rFonts w:ascii="Arial" w:hAnsi="Arial" w:cs="Arial"/>
          <w:sz w:val="24"/>
          <w:szCs w:val="24"/>
        </w:rPr>
      </w:pPr>
      <w:r w:rsidRPr="1AB6159B">
        <w:rPr>
          <w:rFonts w:ascii="Arial" w:hAnsi="Arial" w:cs="Arial"/>
          <w:b/>
          <w:bCs/>
          <w:sz w:val="24"/>
          <w:szCs w:val="24"/>
        </w:rPr>
        <w:t>• Unidad Nacional de Protección (UNP):</w:t>
      </w:r>
      <w:r w:rsidRPr="1AB6159B">
        <w:rPr>
          <w:rFonts w:ascii="Arial" w:hAnsi="Arial" w:cs="Arial"/>
          <w:sz w:val="24"/>
          <w:szCs w:val="24"/>
        </w:rPr>
        <w:t xml:space="preserve"> cuando, de acuerdo con los procedimientos legalmente establecidos, se requiera la activación de medidas de protección para líderes sociales, ambientales, denunciantes u otras personas en situación de riesgo derivada de su participación en los procesos asociados al Sistema de Fiscalización. </w:t>
      </w:r>
    </w:p>
    <w:p w:rsidR="00B61180" w:rsidP="00B61180" w:rsidRDefault="00B61180" w14:paraId="161D0830" w14:textId="77777777">
      <w:pPr>
        <w:ind w:left="360"/>
        <w:jc w:val="both"/>
        <w:rPr>
          <w:rFonts w:ascii="Arial" w:hAnsi="Arial" w:cs="Arial"/>
          <w:sz w:val="24"/>
          <w:szCs w:val="24"/>
        </w:rPr>
      </w:pPr>
      <w:r w:rsidRPr="1AB6159B">
        <w:rPr>
          <w:rFonts w:ascii="Arial" w:hAnsi="Arial" w:cs="Arial"/>
          <w:b/>
          <w:bCs/>
          <w:sz w:val="24"/>
          <w:szCs w:val="24"/>
        </w:rPr>
        <w:t>• Ministerio de Comercio, Industria y Turismo:</w:t>
      </w:r>
      <w:r w:rsidRPr="1AB6159B">
        <w:rPr>
          <w:rFonts w:ascii="Arial" w:hAnsi="Arial" w:cs="Arial"/>
          <w:sz w:val="24"/>
          <w:szCs w:val="24"/>
        </w:rPr>
        <w:t xml:space="preserve"> respecto de situaciones relacionadas con la actividad turística y su articulación con las estrategias de protección y uso sostenible del ecosistema de páramo. </w:t>
      </w:r>
    </w:p>
    <w:p w:rsidR="00B61180" w:rsidP="00B61180" w:rsidRDefault="00B61180" w14:paraId="72CFE018" w14:textId="77777777">
      <w:pPr>
        <w:ind w:left="360"/>
        <w:jc w:val="both"/>
        <w:rPr>
          <w:rFonts w:ascii="Arial" w:hAnsi="Arial" w:cs="Arial"/>
          <w:sz w:val="24"/>
          <w:szCs w:val="24"/>
        </w:rPr>
      </w:pPr>
      <w:r w:rsidRPr="1AB6159B">
        <w:rPr>
          <w:rFonts w:ascii="Arial" w:hAnsi="Arial" w:cs="Arial"/>
          <w:b/>
          <w:bCs/>
          <w:sz w:val="24"/>
          <w:szCs w:val="24"/>
        </w:rPr>
        <w:t>• Departamento Administrativo Nacional de Estadística (DANE):</w:t>
      </w:r>
      <w:r w:rsidRPr="1AB6159B">
        <w:rPr>
          <w:rFonts w:ascii="Arial" w:hAnsi="Arial" w:cs="Arial"/>
          <w:sz w:val="24"/>
          <w:szCs w:val="24"/>
        </w:rPr>
        <w:t xml:space="preserve"> para el suministro, análisis o articulación de información estadística y censal que resulte pertinente para la implementación y evaluación del Sistema. </w:t>
      </w:r>
    </w:p>
    <w:p w:rsidR="00B61180" w:rsidP="00B61180" w:rsidRDefault="00B61180" w14:paraId="2BD4DD93" w14:textId="77777777">
      <w:pPr>
        <w:ind w:left="360"/>
        <w:jc w:val="both"/>
        <w:rPr>
          <w:rFonts w:ascii="Arial" w:hAnsi="Arial" w:cs="Arial"/>
          <w:sz w:val="24"/>
          <w:szCs w:val="24"/>
        </w:rPr>
      </w:pPr>
      <w:r w:rsidRPr="1AB6159B">
        <w:rPr>
          <w:rFonts w:ascii="Arial" w:hAnsi="Arial" w:cs="Arial"/>
          <w:b/>
          <w:bCs/>
          <w:sz w:val="24"/>
          <w:szCs w:val="24"/>
        </w:rPr>
        <w:t>• Instituto Geográfico Agustín Codazzi (IGAC):</w:t>
      </w:r>
      <w:r w:rsidRPr="1AB6159B">
        <w:rPr>
          <w:rFonts w:ascii="Arial" w:hAnsi="Arial" w:cs="Arial"/>
          <w:sz w:val="24"/>
          <w:szCs w:val="24"/>
        </w:rPr>
        <w:t xml:space="preserve"> respecto de la información catastral, cartográfica y geográfica requerida para el seguimiento a la implementación de la resolución de delimitación y de las demás funciones que le atribuye el ordenamiento jurídico. </w:t>
      </w:r>
    </w:p>
    <w:p w:rsidR="00B61180" w:rsidP="00B61180" w:rsidRDefault="00B61180" w14:paraId="204516C3" w14:textId="77777777">
      <w:pPr>
        <w:jc w:val="both"/>
        <w:rPr>
          <w:rFonts w:ascii="Arial" w:hAnsi="Arial" w:cs="Arial"/>
          <w:sz w:val="24"/>
          <w:szCs w:val="24"/>
        </w:rPr>
      </w:pPr>
      <w:r w:rsidRPr="1AB6159B">
        <w:rPr>
          <w:rFonts w:ascii="Arial" w:hAnsi="Arial" w:cs="Arial"/>
          <w:sz w:val="24"/>
          <w:szCs w:val="24"/>
        </w:rPr>
        <w:t>La anterior relación tiene carácter enunciativo y no taxativo. En consecuencia, el sistema de fiscalización podrá articular la participación de cualquier otra entidad pública, organismo de control o institución que, conforme a sus competencias constitucionales y legales, deba conocer o intervenir en una situación reportada, garantizando en todo momento el respeto por el principio de legalidad, la especialidad funcional y la distribución de competencias prevista en el ordenamiento jurídico. La activación de cualquiera de estos actores no implica la transferencia de competencias, la creación de nuevas obligaciones o la alteración de los procedimientos administrativos propios de cada entidad. Su participación tiene como finalidad fortalecer la coordinación interinstitucional, la trazabilidad de las actuaciones, la transparencia de la gestión pública y el ejercicio del control social, permitiendo verificar el cumplimiento de las decisiones adoptadas en la resolución de delimitación, conforme al alcance de la fase de fiscalización definido por la Sentencia T-361 de 2017.</w:t>
      </w:r>
    </w:p>
    <w:p w:rsidR="00B61180" w:rsidP="00B61180" w:rsidRDefault="00B61180" w14:paraId="1586FFD3" w14:textId="77777777">
      <w:pPr>
        <w:ind w:left="360"/>
        <w:jc w:val="both"/>
        <w:rPr>
          <w:rFonts w:ascii="Arial" w:hAnsi="Arial" w:cs="Arial"/>
          <w:b/>
          <w:bCs/>
          <w:sz w:val="24"/>
          <w:szCs w:val="24"/>
        </w:rPr>
      </w:pPr>
      <w:r w:rsidRPr="00947397">
        <w:rPr>
          <w:rFonts w:ascii="Arial" w:hAnsi="Arial" w:cs="Arial"/>
          <w:b/>
          <w:bCs/>
          <w:sz w:val="24"/>
          <w:szCs w:val="24"/>
        </w:rPr>
        <w:t>2.3 Actores de acompañamiento técnico y académico</w:t>
      </w:r>
      <w:r>
        <w:rPr>
          <w:rFonts w:ascii="Arial" w:hAnsi="Arial" w:cs="Arial"/>
          <w:b/>
          <w:bCs/>
          <w:sz w:val="24"/>
          <w:szCs w:val="24"/>
        </w:rPr>
        <w:t xml:space="preserve"> </w:t>
      </w:r>
    </w:p>
    <w:p w:rsidRPr="00947397" w:rsidR="00B61180" w:rsidP="00B61180" w:rsidRDefault="00B61180" w14:paraId="7710F1FA" w14:textId="77777777">
      <w:pPr>
        <w:jc w:val="both"/>
      </w:pPr>
      <w:r w:rsidRPr="1AB6159B">
        <w:rPr>
          <w:rFonts w:ascii="Arial" w:hAnsi="Arial" w:cs="Arial"/>
          <w:sz w:val="24"/>
          <w:szCs w:val="24"/>
        </w:rPr>
        <w:t xml:space="preserve">Los actores de acompañamiento técnico, científico y académico participan en el sistema de fiscalización mediante la generación, análisis y transferencia de conocimiento, el fortalecimiento de capacidades institucionales y comunitarias, el </w:t>
      </w:r>
      <w:r w:rsidRPr="1AB6159B">
        <w:rPr>
          <w:rFonts w:ascii="Arial" w:hAnsi="Arial" w:cs="Arial"/>
          <w:sz w:val="24"/>
          <w:szCs w:val="24"/>
        </w:rPr>
        <w:t xml:space="preserve">apoyo técnico especializado y la producción de información que contribuya a la adecuada implementación de la resolución de delimitación y al fortalecimiento de la fase de fiscalización prevista por la Sentencia T-361 de 2017. </w:t>
      </w:r>
    </w:p>
    <w:p w:rsidRPr="00947397" w:rsidR="00B61180" w:rsidP="00B61180" w:rsidRDefault="00B61180" w14:paraId="60200A17" w14:textId="77777777">
      <w:pPr>
        <w:jc w:val="both"/>
        <w:rPr>
          <w:rFonts w:ascii="Arial" w:hAnsi="Arial" w:cs="Arial"/>
          <w:sz w:val="24"/>
          <w:szCs w:val="24"/>
        </w:rPr>
      </w:pPr>
      <w:r w:rsidRPr="1AB6159B">
        <w:rPr>
          <w:rFonts w:ascii="Arial" w:hAnsi="Arial" w:cs="Arial"/>
          <w:sz w:val="24"/>
          <w:szCs w:val="24"/>
        </w:rPr>
        <w:t xml:space="preserve">Su participación se desarrolla dentro del ámbito de sus competencias, funciones misionales, capacidades técnicas o naturaleza académica y no implica el ejercicio de funciones de autoridad administrativa, inspección, vigilancia, control o sanción, ni sustituye las competencias constitucionales y legales de las entidades públicas que integran el Sistema. </w:t>
      </w:r>
    </w:p>
    <w:p w:rsidR="00B61180" w:rsidP="00B61180" w:rsidRDefault="00B61180" w14:paraId="48300160" w14:textId="77777777">
      <w:pPr>
        <w:jc w:val="both"/>
        <w:rPr>
          <w:rFonts w:ascii="Arial" w:hAnsi="Arial" w:cs="Arial"/>
          <w:sz w:val="24"/>
          <w:szCs w:val="24"/>
        </w:rPr>
      </w:pPr>
      <w:r w:rsidRPr="1AB6159B">
        <w:rPr>
          <w:rFonts w:ascii="Arial" w:hAnsi="Arial" w:cs="Arial"/>
          <w:sz w:val="24"/>
          <w:szCs w:val="24"/>
        </w:rPr>
        <w:t xml:space="preserve">Su aporte fortalece la calidad técnica de la información, la toma de decisiones basada en evidencia, la participación informada y el ejercicio del control social por parte de las comunidades. En esta categoría se reconocen, entre otros, los siguientes actores: </w:t>
      </w:r>
    </w:p>
    <w:p w:rsidR="00B61180" w:rsidP="00B61180" w:rsidRDefault="00B61180" w14:paraId="74B1A4BA" w14:textId="77777777">
      <w:pPr>
        <w:ind w:left="360"/>
        <w:jc w:val="both"/>
        <w:rPr>
          <w:rFonts w:ascii="Arial" w:hAnsi="Arial" w:cs="Arial"/>
          <w:sz w:val="24"/>
          <w:szCs w:val="24"/>
        </w:rPr>
      </w:pPr>
      <w:r w:rsidRPr="1AB6159B">
        <w:rPr>
          <w:rFonts w:ascii="Arial" w:hAnsi="Arial" w:cs="Arial"/>
          <w:sz w:val="24"/>
          <w:szCs w:val="24"/>
        </w:rPr>
        <w:t>•</w:t>
      </w:r>
      <w:r w:rsidRPr="1AB6159B">
        <w:rPr>
          <w:rFonts w:ascii="Arial" w:hAnsi="Arial" w:cs="Arial"/>
          <w:b/>
          <w:bCs/>
          <w:sz w:val="24"/>
          <w:szCs w:val="24"/>
        </w:rPr>
        <w:t xml:space="preserve"> Instituto de Investigación de Recursos Biológicos Alexander von Humboldt: </w:t>
      </w:r>
      <w:r w:rsidRPr="1AB6159B">
        <w:rPr>
          <w:rFonts w:ascii="Arial" w:hAnsi="Arial" w:cs="Arial"/>
          <w:sz w:val="24"/>
          <w:szCs w:val="24"/>
        </w:rPr>
        <w:t xml:space="preserve">participa en el marco de sus competencias científicas y técnicas, aportando información especializada sobre los ecosistemas de páramo, criterios ecológicos, estudios e investigaciones que contribuyan a la implementación de la resolución de delimitación y al fortalecimiento del Sistema de Fiscalización. En particular, el sistema reconoce el valor técnico de la información producida por el Instituto, incluyendo la referencia cartográfica de la franja de transición entre el bosque altoandino y el páramo y demás insumos científicos que permitan fortalecer el seguimiento ambiental, la planificación territorial, la conectividad ecológica y la toma de decisiones basada en evidencia, sin que ello implique funciones de autoridad ambiental o decisorias dentro del Sistema. </w:t>
      </w:r>
    </w:p>
    <w:p w:rsidR="00B61180" w:rsidP="00B61180" w:rsidRDefault="00B61180" w14:paraId="5E096024" w14:textId="77777777">
      <w:pPr>
        <w:ind w:left="360"/>
        <w:jc w:val="both"/>
        <w:rPr>
          <w:rFonts w:ascii="Arial" w:hAnsi="Arial" w:cs="Arial"/>
          <w:sz w:val="24"/>
          <w:szCs w:val="24"/>
        </w:rPr>
      </w:pPr>
      <w:r w:rsidRPr="1AB6159B">
        <w:rPr>
          <w:rFonts w:ascii="Arial" w:hAnsi="Arial" w:cs="Arial"/>
          <w:sz w:val="24"/>
          <w:szCs w:val="24"/>
        </w:rPr>
        <w:t xml:space="preserve">• </w:t>
      </w:r>
      <w:r w:rsidRPr="1AB6159B">
        <w:rPr>
          <w:rFonts w:ascii="Arial" w:hAnsi="Arial" w:cs="Arial"/>
          <w:b/>
          <w:bCs/>
          <w:sz w:val="24"/>
          <w:szCs w:val="24"/>
        </w:rPr>
        <w:t>Universidades, centros de investigación y organizaciones técnicas:</w:t>
      </w:r>
      <w:r w:rsidRPr="1AB6159B">
        <w:rPr>
          <w:rFonts w:ascii="Arial" w:hAnsi="Arial" w:cs="Arial"/>
          <w:sz w:val="24"/>
          <w:szCs w:val="24"/>
        </w:rPr>
        <w:t xml:space="preserve"> las universidades, centros de investigación, instituciones científicas y organizaciones técnicas podrán participar mediante el desarrollo de investigaciones, la producción y análisis de información socio-ecológica, el fortalecimiento de metodologías de monitoreo participativo, la formulación de herramientas para la evaluación del sistema de fiscalización y el fortalecimiento de capacidades institucionales y comunitarias. </w:t>
      </w:r>
    </w:p>
    <w:p w:rsidR="00B61180" w:rsidP="00B61180" w:rsidRDefault="00B61180" w14:paraId="28BA2690" w14:textId="77777777">
      <w:pPr>
        <w:ind w:left="360"/>
        <w:jc w:val="both"/>
        <w:rPr>
          <w:rFonts w:ascii="Arial" w:hAnsi="Arial" w:cs="Arial"/>
          <w:sz w:val="24"/>
          <w:szCs w:val="24"/>
        </w:rPr>
      </w:pPr>
      <w:r w:rsidRPr="00947397">
        <w:rPr>
          <w:rFonts w:ascii="Arial" w:hAnsi="Arial" w:cs="Arial"/>
          <w:sz w:val="24"/>
          <w:szCs w:val="24"/>
        </w:rPr>
        <w:t>Así mismo, podrán apoyar la elaboración de materiales pedagógicos, estrategias</w:t>
      </w:r>
      <w:r>
        <w:rPr>
          <w:rFonts w:ascii="Arial" w:hAnsi="Arial" w:cs="Arial"/>
          <w:sz w:val="24"/>
          <w:szCs w:val="24"/>
        </w:rPr>
        <w:t xml:space="preserve"> </w:t>
      </w:r>
      <w:r w:rsidRPr="00947397">
        <w:rPr>
          <w:rFonts w:ascii="Arial" w:hAnsi="Arial" w:cs="Arial"/>
          <w:sz w:val="24"/>
          <w:szCs w:val="24"/>
        </w:rPr>
        <w:t>de divulgación, procesos de educación ambiental y mecanismos que faciliten una</w:t>
      </w:r>
      <w:r>
        <w:rPr>
          <w:rFonts w:ascii="Arial" w:hAnsi="Arial" w:cs="Arial"/>
          <w:sz w:val="24"/>
          <w:szCs w:val="24"/>
        </w:rPr>
        <w:t xml:space="preserve"> </w:t>
      </w:r>
      <w:r w:rsidRPr="00947397">
        <w:rPr>
          <w:rFonts w:ascii="Arial" w:hAnsi="Arial" w:cs="Arial"/>
          <w:sz w:val="24"/>
          <w:szCs w:val="24"/>
        </w:rPr>
        <w:t>participación ciudadana informada, promoviendo el diálogo entre el</w:t>
      </w:r>
      <w:r>
        <w:rPr>
          <w:rFonts w:ascii="Arial" w:hAnsi="Arial" w:cs="Arial"/>
          <w:sz w:val="24"/>
          <w:szCs w:val="24"/>
        </w:rPr>
        <w:t xml:space="preserve"> </w:t>
      </w:r>
      <w:r w:rsidRPr="00947397">
        <w:rPr>
          <w:rFonts w:ascii="Arial" w:hAnsi="Arial" w:cs="Arial"/>
          <w:sz w:val="24"/>
          <w:szCs w:val="24"/>
        </w:rPr>
        <w:t>conocimiento científico, el conocimiento técnico y los saberes locales presentes</w:t>
      </w:r>
      <w:r>
        <w:rPr>
          <w:rFonts w:ascii="Arial" w:hAnsi="Arial" w:cs="Arial"/>
          <w:sz w:val="24"/>
          <w:szCs w:val="24"/>
        </w:rPr>
        <w:t xml:space="preserve"> </w:t>
      </w:r>
      <w:r w:rsidRPr="00947397">
        <w:rPr>
          <w:rFonts w:ascii="Arial" w:hAnsi="Arial" w:cs="Arial"/>
          <w:sz w:val="24"/>
          <w:szCs w:val="24"/>
        </w:rPr>
        <w:t>en el territorio.</w:t>
      </w:r>
      <w:r>
        <w:rPr>
          <w:rFonts w:ascii="Arial" w:hAnsi="Arial" w:cs="Arial"/>
          <w:sz w:val="24"/>
          <w:szCs w:val="24"/>
        </w:rPr>
        <w:t xml:space="preserve"> </w:t>
      </w:r>
    </w:p>
    <w:p w:rsidR="00B61180" w:rsidP="00B61180" w:rsidRDefault="00B61180" w14:paraId="086621DB" w14:textId="77777777">
      <w:pPr>
        <w:ind w:left="360"/>
        <w:jc w:val="both"/>
        <w:rPr>
          <w:rFonts w:ascii="Arial" w:hAnsi="Arial" w:cs="Arial"/>
          <w:sz w:val="24"/>
          <w:szCs w:val="24"/>
        </w:rPr>
      </w:pPr>
      <w:r w:rsidRPr="1AB6159B">
        <w:rPr>
          <w:rFonts w:ascii="Arial" w:hAnsi="Arial" w:cs="Arial"/>
          <w:sz w:val="24"/>
          <w:szCs w:val="24"/>
        </w:rPr>
        <w:t xml:space="preserve">• </w:t>
      </w:r>
      <w:r w:rsidRPr="1AB6159B">
        <w:rPr>
          <w:rFonts w:ascii="Arial" w:hAnsi="Arial" w:cs="Arial"/>
          <w:b/>
          <w:bCs/>
          <w:sz w:val="24"/>
          <w:szCs w:val="24"/>
        </w:rPr>
        <w:t>Instituciones educativas rurales:</w:t>
      </w:r>
      <w:r w:rsidRPr="1AB6159B">
        <w:rPr>
          <w:rFonts w:ascii="Arial" w:hAnsi="Arial" w:cs="Arial"/>
          <w:sz w:val="24"/>
          <w:szCs w:val="24"/>
        </w:rPr>
        <w:t xml:space="preserve"> os colegios rurales y demás instituciones educativas ubicadas en el área de influencia del complejo de páramos Santurbán Berlín podrán participar como aliados estratégicos en los procesos de educación </w:t>
      </w:r>
      <w:r w:rsidRPr="1AB6159B">
        <w:rPr>
          <w:rFonts w:ascii="Arial" w:hAnsi="Arial" w:cs="Arial"/>
          <w:sz w:val="24"/>
          <w:szCs w:val="24"/>
        </w:rPr>
        <w:t xml:space="preserve">ambiental, apropiación social del conocimiento, fortalecimiento de la cultura de conservación y sensibilización de niños, niñas, adolescentes y jóvenes sobre la importancia del ecosistema de páramo. </w:t>
      </w:r>
    </w:p>
    <w:p w:rsidR="00B61180" w:rsidP="00B61180" w:rsidRDefault="00B61180" w14:paraId="512D833C" w14:textId="77777777">
      <w:pPr>
        <w:ind w:left="360"/>
        <w:jc w:val="both"/>
        <w:rPr>
          <w:rFonts w:ascii="Arial" w:hAnsi="Arial" w:cs="Arial"/>
          <w:sz w:val="24"/>
          <w:szCs w:val="24"/>
        </w:rPr>
      </w:pPr>
      <w:r w:rsidRPr="00947397">
        <w:rPr>
          <w:rFonts w:ascii="Arial" w:hAnsi="Arial" w:cs="Arial"/>
          <w:sz w:val="24"/>
          <w:szCs w:val="24"/>
        </w:rPr>
        <w:t>Su participación podrá articularse con los Proyectos Ambientales Escolares</w:t>
      </w:r>
      <w:r>
        <w:rPr>
          <w:rFonts w:ascii="Arial" w:hAnsi="Arial" w:cs="Arial"/>
          <w:sz w:val="24"/>
          <w:szCs w:val="24"/>
        </w:rPr>
        <w:t xml:space="preserve"> </w:t>
      </w:r>
      <w:r w:rsidRPr="00947397">
        <w:rPr>
          <w:rFonts w:ascii="Arial" w:hAnsi="Arial" w:cs="Arial"/>
          <w:sz w:val="24"/>
          <w:szCs w:val="24"/>
        </w:rPr>
        <w:t>(PRAE), los programas de educación ambiental desarrollados por las autoridades</w:t>
      </w:r>
      <w:r>
        <w:rPr>
          <w:rFonts w:ascii="Arial" w:hAnsi="Arial" w:cs="Arial"/>
          <w:sz w:val="24"/>
          <w:szCs w:val="24"/>
        </w:rPr>
        <w:t xml:space="preserve"> </w:t>
      </w:r>
      <w:r w:rsidRPr="00947397">
        <w:rPr>
          <w:rFonts w:ascii="Arial" w:hAnsi="Arial" w:cs="Arial"/>
          <w:sz w:val="24"/>
          <w:szCs w:val="24"/>
        </w:rPr>
        <w:t>ambientales y las entidades territoriales y las demás estrategias de formación</w:t>
      </w:r>
      <w:r>
        <w:rPr>
          <w:rFonts w:ascii="Arial" w:hAnsi="Arial" w:cs="Arial"/>
          <w:sz w:val="24"/>
          <w:szCs w:val="24"/>
        </w:rPr>
        <w:t xml:space="preserve"> </w:t>
      </w:r>
      <w:r w:rsidRPr="00947397">
        <w:rPr>
          <w:rFonts w:ascii="Arial" w:hAnsi="Arial" w:cs="Arial"/>
          <w:sz w:val="24"/>
          <w:szCs w:val="24"/>
        </w:rPr>
        <w:t>que se implementen en el territorio, favoreciendo el desarrollo de procesos de</w:t>
      </w:r>
      <w:r>
        <w:rPr>
          <w:rFonts w:ascii="Arial" w:hAnsi="Arial" w:cs="Arial"/>
          <w:sz w:val="24"/>
          <w:szCs w:val="24"/>
        </w:rPr>
        <w:t xml:space="preserve"> </w:t>
      </w:r>
      <w:r w:rsidRPr="00947397">
        <w:rPr>
          <w:rFonts w:ascii="Arial" w:hAnsi="Arial" w:cs="Arial"/>
          <w:sz w:val="24"/>
          <w:szCs w:val="24"/>
        </w:rPr>
        <w:t>observación comunitaria, apropiación del territorio y fortalecimiento de la</w:t>
      </w:r>
      <w:r>
        <w:rPr>
          <w:rFonts w:ascii="Arial" w:hAnsi="Arial" w:cs="Arial"/>
          <w:sz w:val="24"/>
          <w:szCs w:val="24"/>
        </w:rPr>
        <w:t xml:space="preserve"> </w:t>
      </w:r>
      <w:r w:rsidRPr="00947397">
        <w:rPr>
          <w:rFonts w:ascii="Arial" w:hAnsi="Arial" w:cs="Arial"/>
          <w:sz w:val="24"/>
          <w:szCs w:val="24"/>
        </w:rPr>
        <w:t>participación ambiental de las nuevas generaciones.</w:t>
      </w:r>
      <w:r>
        <w:rPr>
          <w:rFonts w:ascii="Arial" w:hAnsi="Arial" w:cs="Arial"/>
          <w:sz w:val="24"/>
          <w:szCs w:val="24"/>
        </w:rPr>
        <w:t xml:space="preserve"> </w:t>
      </w:r>
    </w:p>
    <w:p w:rsidR="00B61180" w:rsidP="00B61180" w:rsidRDefault="00B61180" w14:paraId="5A1062DF" w14:textId="77777777">
      <w:pPr>
        <w:jc w:val="both"/>
        <w:rPr>
          <w:rFonts w:ascii="Arial" w:hAnsi="Arial" w:cs="Arial"/>
          <w:sz w:val="24"/>
          <w:szCs w:val="24"/>
        </w:rPr>
      </w:pPr>
      <w:r w:rsidRPr="1AB6159B">
        <w:rPr>
          <w:rFonts w:ascii="Arial" w:hAnsi="Arial" w:cs="Arial"/>
          <w:sz w:val="24"/>
          <w:szCs w:val="24"/>
        </w:rPr>
        <w:t>En ningún caso esta participación implica la asignación de funciones de autoridad, seguimiento administrativo o recepción formal de denuncias por parte de las instituciones educativas, ni modifica las funciones que les atribuye la legislación educativa vigente. La participación de los actores de acompañamiento técnico, científico y académico fortalece la gestión del conocimiento como uno de los componentes transversales del Sistema de Fiscalización, promoviendo la producción y circulación de información confiable, el intercambio de saberes científicos y comunitarios, la formación de capacidades locales y el desarrollo de procesos de innovación que contribuyan al mejoramiento continuo del Sistema, al fortalecimiento del control social y a la implementación efectiva de la resolución de delimitación.</w:t>
      </w:r>
    </w:p>
    <w:p w:rsidR="00B61180" w:rsidP="00B61180" w:rsidRDefault="00B61180" w14:paraId="41ADE931" w14:textId="77777777">
      <w:pPr>
        <w:ind w:left="360"/>
        <w:jc w:val="both"/>
        <w:rPr>
          <w:rFonts w:ascii="Arial" w:hAnsi="Arial" w:cs="Arial"/>
          <w:b/>
          <w:bCs/>
          <w:sz w:val="24"/>
          <w:szCs w:val="24"/>
        </w:rPr>
      </w:pPr>
      <w:r w:rsidRPr="003C4DD2">
        <w:rPr>
          <w:rFonts w:ascii="Arial" w:hAnsi="Arial" w:cs="Arial"/>
          <w:b/>
          <w:bCs/>
          <w:sz w:val="24"/>
          <w:szCs w:val="24"/>
        </w:rPr>
        <w:t>2.4 Comunidades y organizaciones sociales formas diferenciadas de</w:t>
      </w:r>
      <w:r>
        <w:rPr>
          <w:rFonts w:ascii="Arial" w:hAnsi="Arial" w:cs="Arial"/>
          <w:b/>
          <w:bCs/>
          <w:sz w:val="24"/>
          <w:szCs w:val="24"/>
        </w:rPr>
        <w:t xml:space="preserve"> </w:t>
      </w:r>
      <w:r w:rsidRPr="003C4DD2">
        <w:rPr>
          <w:rFonts w:ascii="Arial" w:hAnsi="Arial" w:cs="Arial"/>
          <w:b/>
          <w:bCs/>
          <w:sz w:val="24"/>
          <w:szCs w:val="24"/>
        </w:rPr>
        <w:t>participación</w:t>
      </w:r>
      <w:r>
        <w:rPr>
          <w:rFonts w:ascii="Arial" w:hAnsi="Arial" w:cs="Arial"/>
          <w:b/>
          <w:bCs/>
          <w:sz w:val="24"/>
          <w:szCs w:val="24"/>
        </w:rPr>
        <w:t xml:space="preserve"> </w:t>
      </w:r>
    </w:p>
    <w:p w:rsidR="00B61180" w:rsidP="00B61180" w:rsidRDefault="00B61180" w14:paraId="47D7D105" w14:textId="77777777">
      <w:pPr>
        <w:jc w:val="both"/>
        <w:rPr>
          <w:rFonts w:ascii="Arial" w:hAnsi="Arial" w:cs="Arial"/>
          <w:sz w:val="24"/>
          <w:szCs w:val="24"/>
        </w:rPr>
      </w:pPr>
      <w:r w:rsidRPr="1AB6159B">
        <w:rPr>
          <w:rFonts w:ascii="Arial" w:hAnsi="Arial" w:cs="Arial"/>
          <w:sz w:val="24"/>
          <w:szCs w:val="24"/>
        </w:rPr>
        <w:t xml:space="preserve">En armonía con lo desarrollado en el Capítulo 1 sobre la naturaleza del Sistema de Fiscalización y el reconocimiento de la diversidad social, cultural y territorial presente en el complejo de páramos Santurbán Berlín, el sistema reconoce que la participación ciudadana no se ejerce mediante un único modelo organizativo, sino a través de múltiples formas de organización comunitaria, campesina, y social, construidas históricamente por las comunidades que habitan el territorio. </w:t>
      </w:r>
    </w:p>
    <w:p w:rsidR="00B61180" w:rsidP="00B61180" w:rsidRDefault="00B61180" w14:paraId="3D7A8CF3" w14:textId="77777777">
      <w:pPr>
        <w:jc w:val="both"/>
        <w:rPr>
          <w:rFonts w:ascii="Arial" w:hAnsi="Arial" w:cs="Arial"/>
          <w:sz w:val="24"/>
          <w:szCs w:val="24"/>
        </w:rPr>
      </w:pPr>
      <w:r w:rsidRPr="1AB6159B">
        <w:rPr>
          <w:rFonts w:ascii="Arial" w:hAnsi="Arial" w:cs="Arial"/>
          <w:sz w:val="24"/>
          <w:szCs w:val="24"/>
        </w:rPr>
        <w:t xml:space="preserve">En desarrollo de la Sentencia T-361 de 2017, el sistema de fiscalización promueve una participación efectiva, permanente e incluyente, respetando plenamente la autonomía de estas formas organizativas, sus mecanismos propios de representación y decisión, así como las competencias y derechos que les reconoce la Constitución Política y la ley. En consecuencia, el sistema no crea nuevas organizaciones, no modifica las existentes ni interviene en su funcionamiento interno, sino que establece mecanismos de articulación voluntaria que fortalecen la coordinación institucional, el acceso a la información y el ejercicio del control social ambiental. </w:t>
      </w:r>
    </w:p>
    <w:p w:rsidR="00B61180" w:rsidP="00B61180" w:rsidRDefault="00B61180" w14:paraId="217E21D8" w14:textId="77777777">
      <w:pPr>
        <w:jc w:val="both"/>
        <w:rPr>
          <w:rFonts w:ascii="Arial" w:hAnsi="Arial" w:cs="Arial"/>
          <w:sz w:val="24"/>
          <w:szCs w:val="24"/>
        </w:rPr>
      </w:pPr>
      <w:r w:rsidRPr="1AB6159B">
        <w:rPr>
          <w:rFonts w:ascii="Arial" w:hAnsi="Arial" w:cs="Arial"/>
          <w:sz w:val="24"/>
          <w:szCs w:val="24"/>
        </w:rPr>
        <w:t>En este contexto, se reconocen, entre otras, las siguientes formas diferenciadas de participación:</w:t>
      </w:r>
    </w:p>
    <w:p w:rsidRPr="003C4DD2" w:rsidR="00B61180" w:rsidP="00B61180" w:rsidRDefault="00B61180" w14:paraId="7EE50D98" w14:textId="77777777">
      <w:pPr>
        <w:jc w:val="both"/>
        <w:rPr>
          <w:rFonts w:ascii="Arial" w:hAnsi="Arial" w:cs="Arial"/>
          <w:sz w:val="24"/>
          <w:szCs w:val="24"/>
        </w:rPr>
      </w:pPr>
      <w:r w:rsidRPr="1AB6159B">
        <w:rPr>
          <w:rFonts w:ascii="Arial" w:hAnsi="Arial" w:cs="Arial"/>
          <w:sz w:val="24"/>
          <w:szCs w:val="24"/>
        </w:rPr>
        <w:t xml:space="preserve">En el Complejo de Páramos Jurisdicciones-Santurbán-Berlín coexisten diversos actores sociales que han estructurado formas organizativas muy sólidas para defender su permanencia en el territorio. La </w:t>
      </w:r>
      <w:hyperlink r:id="rId15">
        <w:r w:rsidRPr="1AB6159B">
          <w:rPr>
            <w:rStyle w:val="Hipervnculo"/>
            <w:rFonts w:ascii="Arial" w:hAnsi="Arial" w:cs="Arial"/>
            <w:sz w:val="24"/>
            <w:szCs w:val="24"/>
          </w:rPr>
          <w:t>Sentencia T-361 de 2017</w:t>
        </w:r>
      </w:hyperlink>
      <w:r w:rsidRPr="1AB6159B">
        <w:rPr>
          <w:rFonts w:ascii="Arial" w:hAnsi="Arial" w:cs="Arial"/>
          <w:sz w:val="24"/>
          <w:szCs w:val="24"/>
        </w:rPr>
        <w:t xml:space="preserve"> reconoció que esta población no es homogénea y, por lo tanto, el</w:t>
      </w:r>
      <w:hyperlink r:id="rId16">
        <w:r w:rsidRPr="1AB6159B">
          <w:rPr>
            <w:rStyle w:val="Hipervnculo"/>
            <w:rFonts w:ascii="Arial" w:hAnsi="Arial" w:cs="Arial"/>
            <w:sz w:val="24"/>
            <w:szCs w:val="24"/>
          </w:rPr>
          <w:t xml:space="preserve"> Ministerio de Ambiente</w:t>
        </w:r>
      </w:hyperlink>
      <w:r w:rsidRPr="1AB6159B">
        <w:rPr>
          <w:rFonts w:ascii="Arial" w:hAnsi="Arial" w:cs="Arial"/>
          <w:sz w:val="24"/>
          <w:szCs w:val="24"/>
        </w:rPr>
        <w:t xml:space="preserve"> tuvo que diseñar formas diferenciadas de participación para responder a las realidades económicas, culturales y geográficas de cada sector.</w:t>
      </w:r>
    </w:p>
    <w:p w:rsidRPr="003C4DD2" w:rsidR="00B61180" w:rsidP="00B61180" w:rsidRDefault="00B61180" w14:paraId="34476DEA" w14:textId="77777777">
      <w:pPr>
        <w:ind w:left="360"/>
        <w:jc w:val="both"/>
        <w:rPr>
          <w:rFonts w:ascii="Arial" w:hAnsi="Arial" w:cs="Arial"/>
          <w:b/>
          <w:bCs/>
          <w:sz w:val="24"/>
          <w:szCs w:val="24"/>
        </w:rPr>
      </w:pPr>
      <w:r w:rsidRPr="1AB6159B">
        <w:rPr>
          <w:rFonts w:ascii="Arial" w:hAnsi="Arial" w:cs="Arial"/>
          <w:b/>
          <w:bCs/>
          <w:sz w:val="24"/>
          <w:szCs w:val="24"/>
        </w:rPr>
        <w:t>2.4.1. Comunidades y Organizaciones Sociales Principales</w:t>
      </w:r>
    </w:p>
    <w:p w:rsidRPr="003C4DD2" w:rsidR="00B61180" w:rsidP="00B61180" w:rsidRDefault="00B61180" w14:paraId="335080DA" w14:textId="77777777">
      <w:pPr>
        <w:ind w:left="360"/>
        <w:jc w:val="both"/>
        <w:rPr>
          <w:rFonts w:ascii="Arial" w:hAnsi="Arial" w:cs="Arial"/>
          <w:sz w:val="24"/>
          <w:szCs w:val="24"/>
        </w:rPr>
      </w:pPr>
      <w:r w:rsidRPr="003C4DD2">
        <w:rPr>
          <w:rFonts w:ascii="Arial" w:hAnsi="Arial" w:cs="Arial"/>
          <w:sz w:val="24"/>
          <w:szCs w:val="24"/>
        </w:rPr>
        <w:t>Las organizaciones sociales del páramo se agrupan principalmente en tres grandes bloques según su identidad y su relación con el ecosistema:</w:t>
      </w:r>
    </w:p>
    <w:p w:rsidRPr="003C4DD2" w:rsidR="00B61180" w:rsidP="00B61180" w:rsidRDefault="00B61180" w14:paraId="326BF2AE" w14:textId="77777777">
      <w:pPr>
        <w:numPr>
          <w:ilvl w:val="0"/>
          <w:numId w:val="43"/>
        </w:numPr>
        <w:jc w:val="both"/>
        <w:rPr>
          <w:rFonts w:ascii="Arial" w:hAnsi="Arial" w:cs="Arial"/>
          <w:sz w:val="24"/>
          <w:szCs w:val="24"/>
        </w:rPr>
      </w:pPr>
      <w:r w:rsidRPr="1AB6159B">
        <w:rPr>
          <w:rFonts w:ascii="Arial" w:hAnsi="Arial" w:cs="Arial"/>
          <w:sz w:val="24"/>
          <w:szCs w:val="24"/>
        </w:rPr>
        <w:t>Asociaciones de Campesinos Tradicionales (Agricultores y Ganaderos): destaca la Asociación de Municipios del Páramo de Santurbán (Asomunicipios) y cooperativas locales como las de los productores de cebolla del corregimiento de Berlín (Tona). Su enfoque es la defensa de la soberanía alimentaria, la propiedad de la tierra y el derecho a realizar agricultura de bajo impacto.</w:t>
      </w:r>
    </w:p>
    <w:p w:rsidRPr="003C4DD2" w:rsidR="00B61180" w:rsidP="00B61180" w:rsidRDefault="00B61180" w14:paraId="7249BBA0" w14:textId="77777777">
      <w:pPr>
        <w:numPr>
          <w:ilvl w:val="0"/>
          <w:numId w:val="43"/>
        </w:numPr>
        <w:jc w:val="both"/>
        <w:rPr>
          <w:rFonts w:ascii="Arial" w:hAnsi="Arial" w:cs="Arial"/>
          <w:sz w:val="24"/>
          <w:szCs w:val="24"/>
        </w:rPr>
      </w:pPr>
      <w:r w:rsidRPr="1AB6159B">
        <w:rPr>
          <w:rFonts w:ascii="Arial" w:hAnsi="Arial" w:cs="Arial"/>
          <w:sz w:val="24"/>
          <w:szCs w:val="24"/>
        </w:rPr>
        <w:t xml:space="preserve">Asociaciones de Mineros Ancestrales y Tradicionales: concentradas en la provincia de Soto Norte (Vetas, California y Suratá). Destacan organizaciones como la Asociación de Mineros de Vetas (Asomineros) o la Federación de Pequeños Mineros. Defienden la minería tradicional y artesanal de oro como un patrimonio cultural y económico anterior a la creación de las normas ambientales. </w:t>
      </w:r>
    </w:p>
    <w:p w:rsidRPr="003C4DD2" w:rsidR="00B61180" w:rsidP="00B61180" w:rsidRDefault="00B61180" w14:paraId="11AFCEBB" w14:textId="77777777">
      <w:pPr>
        <w:numPr>
          <w:ilvl w:val="0"/>
          <w:numId w:val="43"/>
        </w:numPr>
        <w:jc w:val="both"/>
        <w:rPr>
          <w:rFonts w:ascii="Arial" w:hAnsi="Arial" w:cs="Arial"/>
          <w:sz w:val="24"/>
          <w:szCs w:val="24"/>
        </w:rPr>
      </w:pPr>
      <w:r w:rsidRPr="1AB6159B">
        <w:rPr>
          <w:rFonts w:ascii="Arial" w:hAnsi="Arial" w:cs="Arial"/>
          <w:sz w:val="24"/>
          <w:szCs w:val="24"/>
        </w:rPr>
        <w:t>Comités Ambientales y Colectivos Urbanos.: organizaciones como el Comité para la Defensa del Agua y el Páramo de Santurbán (basado en Bucaramanga). Aunque están fuera del territorio físico del páramo, representan a los usuarios del agua de las ciudades y ejercen una fuerte presión jurídica y política para la protección estricta y total del ecosistema, oponiéndose a la megaminería.</w:t>
      </w:r>
    </w:p>
    <w:p w:rsidR="00B61180" w:rsidP="00B61180" w:rsidRDefault="00B61180" w14:paraId="209A9B1A" w14:textId="77777777">
      <w:pPr>
        <w:numPr>
          <w:ilvl w:val="0"/>
          <w:numId w:val="43"/>
        </w:numPr>
        <w:jc w:val="both"/>
        <w:rPr>
          <w:rFonts w:ascii="Arial" w:hAnsi="Arial" w:cs="Arial"/>
          <w:sz w:val="24"/>
          <w:szCs w:val="24"/>
        </w:rPr>
      </w:pPr>
      <w:r w:rsidRPr="1AB6159B">
        <w:rPr>
          <w:rFonts w:ascii="Arial" w:hAnsi="Arial" w:cs="Arial"/>
          <w:sz w:val="24"/>
          <w:szCs w:val="24"/>
        </w:rPr>
        <w:t>Organizaciones de Base Terrenal (JAC): las Juntas de Acción Comunal de las veredas altas de los 30 municipios. Son la forma de organización más capilar y directa; representan el día a día de las familias que habitan las zonas de preservación.</w:t>
      </w:r>
    </w:p>
    <w:p w:rsidR="00B61180" w:rsidP="00B61180" w:rsidRDefault="00B61180" w14:paraId="663CECA4" w14:textId="77777777">
      <w:pPr>
        <w:jc w:val="both"/>
        <w:rPr>
          <w:rFonts w:ascii="Arial" w:hAnsi="Arial" w:cs="Arial"/>
          <w:sz w:val="24"/>
          <w:szCs w:val="24"/>
        </w:rPr>
      </w:pPr>
    </w:p>
    <w:p w:rsidRPr="003C4DD2" w:rsidR="00B61180" w:rsidP="00B61180" w:rsidRDefault="00B61180" w14:paraId="4A4F3242" w14:textId="77777777">
      <w:pPr>
        <w:jc w:val="both"/>
        <w:rPr>
          <w:rFonts w:ascii="Arial" w:hAnsi="Arial" w:cs="Arial"/>
          <w:sz w:val="24"/>
          <w:szCs w:val="24"/>
        </w:rPr>
      </w:pPr>
    </w:p>
    <w:p w:rsidRPr="003C4DD2" w:rsidR="00B61180" w:rsidP="00B61180" w:rsidRDefault="00B61180" w14:paraId="5B47F048" w14:textId="77777777">
      <w:pPr>
        <w:ind w:left="360"/>
        <w:jc w:val="both"/>
        <w:rPr>
          <w:rFonts w:ascii="Arial" w:hAnsi="Arial" w:cs="Arial"/>
          <w:b/>
          <w:bCs/>
          <w:sz w:val="24"/>
          <w:szCs w:val="24"/>
        </w:rPr>
      </w:pPr>
      <w:r w:rsidRPr="1AB6159B">
        <w:rPr>
          <w:rFonts w:ascii="Arial" w:hAnsi="Arial" w:cs="Arial"/>
          <w:b/>
          <w:bCs/>
          <w:sz w:val="24"/>
          <w:szCs w:val="24"/>
        </w:rPr>
        <w:t>2.4.2. Formas Diferenciadas de Participación</w:t>
      </w:r>
    </w:p>
    <w:p w:rsidRPr="003C4DD2" w:rsidR="00B61180" w:rsidP="00B61180" w:rsidRDefault="00B61180" w14:paraId="71D9DFFB" w14:textId="77777777">
      <w:pPr>
        <w:jc w:val="both"/>
        <w:rPr>
          <w:rFonts w:ascii="Arial" w:hAnsi="Arial" w:cs="Arial"/>
          <w:sz w:val="24"/>
          <w:szCs w:val="24"/>
        </w:rPr>
      </w:pPr>
      <w:r w:rsidRPr="1AB6159B">
        <w:rPr>
          <w:rFonts w:ascii="Arial" w:hAnsi="Arial" w:cs="Arial"/>
          <w:sz w:val="24"/>
          <w:szCs w:val="24"/>
        </w:rPr>
        <w:t>La Corte Constitucional determinó que la participación ciudadana en este complejo no podía limitarse a "llenar planillas" en audiencias públicas masivas. Por ello, el proceso se estructuró a través de mecanismos diferenciados para garantizar que cada grupo sea escuchado según sus particularidades:</w:t>
      </w:r>
    </w:p>
    <w:p w:rsidRPr="003C4DD2" w:rsidR="00B61180" w:rsidP="00B61180" w:rsidRDefault="00B61180" w14:paraId="4E729A9E" w14:textId="77777777">
      <w:pPr>
        <w:ind w:left="360"/>
        <w:jc w:val="both"/>
        <w:rPr>
          <w:rFonts w:ascii="Arial" w:hAnsi="Arial" w:cs="Arial"/>
          <w:b/>
          <w:bCs/>
          <w:sz w:val="24"/>
          <w:szCs w:val="24"/>
        </w:rPr>
      </w:pPr>
      <w:r w:rsidRPr="003C4DD2">
        <w:rPr>
          <w:rFonts w:ascii="Arial" w:hAnsi="Arial" w:cs="Arial"/>
          <w:b/>
          <w:bCs/>
          <w:sz w:val="24"/>
          <w:szCs w:val="24"/>
        </w:rPr>
        <w:t>A. Mesas Temáticas y Sectoriales Especializadas</w:t>
      </w:r>
    </w:p>
    <w:p w:rsidRPr="003C4DD2" w:rsidR="00B61180" w:rsidP="00B61180" w:rsidRDefault="00B61180" w14:paraId="1DA271BF" w14:textId="77777777">
      <w:pPr>
        <w:jc w:val="both"/>
        <w:rPr>
          <w:rFonts w:ascii="Arial" w:hAnsi="Arial" w:cs="Arial"/>
          <w:sz w:val="24"/>
          <w:szCs w:val="24"/>
        </w:rPr>
      </w:pPr>
      <w:r w:rsidRPr="1AB6159B">
        <w:rPr>
          <w:rFonts w:ascii="Arial" w:hAnsi="Arial" w:cs="Arial"/>
          <w:sz w:val="24"/>
          <w:szCs w:val="24"/>
        </w:rPr>
        <w:t>En lugar de debatir todos los temas juntos, el Ministerio de Ambiente implementó mesas de concertación específicas por sectores productivos.</w:t>
      </w:r>
    </w:p>
    <w:p w:rsidRPr="003C4DD2" w:rsidR="00B61180" w:rsidP="00B61180" w:rsidRDefault="00B61180" w14:paraId="7BF277C3" w14:textId="77777777">
      <w:pPr>
        <w:numPr>
          <w:ilvl w:val="0"/>
          <w:numId w:val="44"/>
        </w:numPr>
        <w:jc w:val="both"/>
        <w:rPr>
          <w:rFonts w:ascii="Arial" w:hAnsi="Arial" w:cs="Arial"/>
          <w:sz w:val="24"/>
          <w:szCs w:val="24"/>
        </w:rPr>
      </w:pPr>
      <w:r w:rsidRPr="003C4DD2">
        <w:rPr>
          <w:rFonts w:ascii="Arial" w:hAnsi="Arial" w:cs="Arial"/>
          <w:i/>
          <w:iCs/>
          <w:sz w:val="24"/>
          <w:szCs w:val="24"/>
        </w:rPr>
        <w:t>Mesa de Minería Tradicional:</w:t>
      </w:r>
      <w:r w:rsidRPr="003C4DD2">
        <w:rPr>
          <w:rFonts w:ascii="Arial" w:hAnsi="Arial" w:cs="Arial"/>
          <w:sz w:val="24"/>
          <w:szCs w:val="24"/>
        </w:rPr>
        <w:t xml:space="preserve"> Discute exclusivamente con los mineros de Soto Norte los planos de formalización, delimitación de líneas de subsuelo y alternativas laborales.</w:t>
      </w:r>
    </w:p>
    <w:p w:rsidRPr="003C4DD2" w:rsidR="00B61180" w:rsidP="00B61180" w:rsidRDefault="00B61180" w14:paraId="1FE969B4" w14:textId="77777777">
      <w:pPr>
        <w:numPr>
          <w:ilvl w:val="0"/>
          <w:numId w:val="44"/>
        </w:numPr>
        <w:jc w:val="both"/>
        <w:rPr>
          <w:rFonts w:ascii="Arial" w:hAnsi="Arial" w:cs="Arial"/>
          <w:sz w:val="24"/>
          <w:szCs w:val="24"/>
        </w:rPr>
      </w:pPr>
      <w:r w:rsidRPr="003C4DD2">
        <w:rPr>
          <w:rFonts w:ascii="Arial" w:hAnsi="Arial" w:cs="Arial"/>
          <w:i/>
          <w:iCs/>
          <w:sz w:val="24"/>
          <w:szCs w:val="24"/>
        </w:rPr>
        <w:t>Mesa de Reconversión Agropecuaria:</w:t>
      </w:r>
      <w:r w:rsidRPr="003C4DD2">
        <w:rPr>
          <w:rFonts w:ascii="Arial" w:hAnsi="Arial" w:cs="Arial"/>
          <w:sz w:val="24"/>
          <w:szCs w:val="24"/>
        </w:rPr>
        <w:t xml:space="preserve"> Diseñada únicamente para los campesinos agricultores, enfocada en cómo transformar los cultivos tradicionales en sistemas sostenibles sin desalojar a la gente.</w:t>
      </w:r>
    </w:p>
    <w:p w:rsidRPr="003C4DD2" w:rsidR="00B61180" w:rsidP="00B61180" w:rsidRDefault="00B61180" w14:paraId="5888ED97" w14:textId="77777777">
      <w:pPr>
        <w:ind w:left="360"/>
        <w:jc w:val="both"/>
        <w:rPr>
          <w:rFonts w:ascii="Arial" w:hAnsi="Arial" w:cs="Arial"/>
          <w:b/>
          <w:bCs/>
          <w:sz w:val="24"/>
          <w:szCs w:val="24"/>
        </w:rPr>
      </w:pPr>
      <w:r w:rsidRPr="003C4DD2">
        <w:rPr>
          <w:rFonts w:ascii="Arial" w:hAnsi="Arial" w:cs="Arial"/>
          <w:b/>
          <w:bCs/>
          <w:sz w:val="24"/>
          <w:szCs w:val="24"/>
        </w:rPr>
        <w:t>B. Participación con Enfoque Territorial (En el Terreno)</w:t>
      </w:r>
    </w:p>
    <w:p w:rsidRPr="003C4DD2" w:rsidR="00B61180" w:rsidP="00B61180" w:rsidRDefault="00B61180" w14:paraId="180F9379" w14:textId="77777777">
      <w:pPr>
        <w:jc w:val="both"/>
        <w:rPr>
          <w:rFonts w:ascii="Arial" w:hAnsi="Arial" w:cs="Arial"/>
          <w:sz w:val="24"/>
          <w:szCs w:val="24"/>
        </w:rPr>
      </w:pPr>
      <w:r w:rsidRPr="1AB6159B">
        <w:rPr>
          <w:rFonts w:ascii="Arial" w:hAnsi="Arial" w:cs="Arial"/>
          <w:sz w:val="24"/>
          <w:szCs w:val="24"/>
        </w:rPr>
        <w:t xml:space="preserve">Para evitar que los campesinos tuvieran que trasladarse a las capitales (Bucaramanga o Cúcuta), las autoridades dividieron las fases de concertación en nodos territoriales veredales. Las reuniones se realizan directamente en las escuelas o salones comunales de la alta montaña. Esto garantiza que quienes viven en las zonas más apartadas e incomunicadas tengan voz directa sobre el mapa de delimitación de sus predios. </w:t>
      </w:r>
    </w:p>
    <w:p w:rsidRPr="003C4DD2" w:rsidR="00B61180" w:rsidP="00B61180" w:rsidRDefault="00B61180" w14:paraId="289945BA" w14:textId="77777777">
      <w:pPr>
        <w:ind w:left="360"/>
        <w:jc w:val="both"/>
        <w:rPr>
          <w:rFonts w:ascii="Arial" w:hAnsi="Arial" w:cs="Arial"/>
          <w:b/>
          <w:bCs/>
          <w:sz w:val="24"/>
          <w:szCs w:val="24"/>
        </w:rPr>
      </w:pPr>
      <w:r w:rsidRPr="003C4DD2">
        <w:rPr>
          <w:rFonts w:ascii="Arial" w:hAnsi="Arial" w:cs="Arial"/>
          <w:b/>
          <w:bCs/>
          <w:sz w:val="24"/>
          <w:szCs w:val="24"/>
        </w:rPr>
        <w:t>C. Mesas de Convivencia y "Líneas Azules"</w:t>
      </w:r>
    </w:p>
    <w:p w:rsidRPr="003C4DD2" w:rsidR="00B61180" w:rsidP="00B61180" w:rsidRDefault="00B61180" w14:paraId="1B14AFF6" w14:textId="77777777">
      <w:pPr>
        <w:jc w:val="both"/>
        <w:rPr>
          <w:rFonts w:ascii="Arial" w:hAnsi="Arial" w:cs="Arial"/>
          <w:sz w:val="24"/>
          <w:szCs w:val="24"/>
        </w:rPr>
      </w:pPr>
      <w:r w:rsidRPr="1AB6159B">
        <w:rPr>
          <w:rFonts w:ascii="Arial" w:hAnsi="Arial" w:cs="Arial"/>
          <w:sz w:val="24"/>
          <w:szCs w:val="24"/>
        </w:rPr>
        <w:t>Es una metodología de concertación cartográfica paso a paso. Los técnicos del Gobierno se sientan con los propietarios tradicionales de cada vereda para revisar los mapas detallados (escala 1:25.000). Allí se identifican las zonas de uso sostenible de los habitantes tradicionales del páramo, permitiendo que la comunidad proponga ajustes a las líneas de conservación con base en su conocimiento histórico del territorio.</w:t>
      </w:r>
    </w:p>
    <w:p w:rsidRPr="003C4DD2" w:rsidR="00B61180" w:rsidP="00B61180" w:rsidRDefault="00B61180" w14:paraId="03AF3D79" w14:textId="77777777">
      <w:pPr>
        <w:ind w:left="360"/>
        <w:jc w:val="both"/>
        <w:rPr>
          <w:rFonts w:ascii="Arial" w:hAnsi="Arial" w:cs="Arial"/>
          <w:b/>
          <w:bCs/>
          <w:sz w:val="24"/>
          <w:szCs w:val="24"/>
        </w:rPr>
      </w:pPr>
      <w:r w:rsidRPr="003C4DD2">
        <w:rPr>
          <w:rFonts w:ascii="Arial" w:hAnsi="Arial" w:cs="Arial"/>
          <w:b/>
          <w:bCs/>
          <w:sz w:val="24"/>
          <w:szCs w:val="24"/>
        </w:rPr>
        <w:t>D. Instancias de Veeduría y Control Social Comunitario</w:t>
      </w:r>
    </w:p>
    <w:p w:rsidRPr="003C4DD2" w:rsidR="00B61180" w:rsidP="00B61180" w:rsidRDefault="00B61180" w14:paraId="74D5FAE9" w14:textId="77777777">
      <w:pPr>
        <w:jc w:val="both"/>
        <w:rPr>
          <w:rFonts w:ascii="Arial" w:hAnsi="Arial" w:cs="Arial"/>
          <w:sz w:val="24"/>
          <w:szCs w:val="24"/>
        </w:rPr>
      </w:pPr>
      <w:r w:rsidRPr="1AB6159B">
        <w:rPr>
          <w:rFonts w:ascii="Arial" w:hAnsi="Arial" w:cs="Arial"/>
          <w:sz w:val="24"/>
          <w:szCs w:val="24"/>
        </w:rPr>
        <w:t xml:space="preserve">Es la base del "ineludible de fiscalización". Las organizaciones sociales no solo opinan, sino que participan mediante comisiones comunitarias que coadministran el monitoreo del páramo. Los líderes veredales están vestidos de la facultad legal de reportar infracciones directamente a las Corporaciones Autónomas ( </w:t>
      </w:r>
      <w:hyperlink r:id="rId17">
        <w:r w:rsidRPr="1AB6159B">
          <w:rPr>
            <w:rStyle w:val="Hipervnculo"/>
            <w:rFonts w:ascii="Arial" w:hAnsi="Arial" w:cs="Arial"/>
            <w:sz w:val="24"/>
            <w:szCs w:val="24"/>
          </w:rPr>
          <w:t>CDMB</w:t>
        </w:r>
      </w:hyperlink>
      <w:r w:rsidRPr="1AB6159B">
        <w:rPr>
          <w:rFonts w:ascii="Arial" w:hAnsi="Arial" w:cs="Arial"/>
          <w:sz w:val="24"/>
          <w:szCs w:val="24"/>
        </w:rPr>
        <w:t xml:space="preserve"> y </w:t>
      </w:r>
      <w:r w:rsidRPr="1AB6159B">
        <w:rPr>
          <w:rFonts w:ascii="Arial" w:hAnsi="Arial" w:cs="Arial"/>
          <w:sz w:val="24"/>
          <w:szCs w:val="24"/>
        </w:rPr>
        <w:t>Corponor) bajo un esquema de protección y prioridad en la atención de sus denuncias</w:t>
      </w:r>
    </w:p>
    <w:p w:rsidRPr="003C4DD2" w:rsidR="00B61180" w:rsidP="00B61180" w:rsidRDefault="00B61180" w14:paraId="5007A013" w14:textId="77777777">
      <w:pPr>
        <w:ind w:left="360"/>
        <w:jc w:val="both"/>
        <w:rPr>
          <w:rFonts w:ascii="Arial" w:hAnsi="Arial" w:cs="Arial"/>
          <w:b/>
          <w:bCs/>
          <w:sz w:val="24"/>
          <w:szCs w:val="24"/>
        </w:rPr>
      </w:pPr>
      <w:r w:rsidRPr="003C4DD2">
        <w:rPr>
          <w:rFonts w:ascii="Arial" w:hAnsi="Arial" w:cs="Arial"/>
          <w:b/>
          <w:bCs/>
          <w:sz w:val="24"/>
          <w:szCs w:val="24"/>
        </w:rPr>
        <w:t>E. Veedurías ciudadanas y organizaciones comunitarias</w:t>
      </w:r>
    </w:p>
    <w:p w:rsidR="00B61180" w:rsidP="00B61180" w:rsidRDefault="00B61180" w14:paraId="4F94D43D" w14:textId="77777777">
      <w:pPr>
        <w:jc w:val="both"/>
        <w:rPr>
          <w:rFonts w:ascii="Arial" w:hAnsi="Arial" w:cs="Arial"/>
          <w:sz w:val="24"/>
          <w:szCs w:val="24"/>
        </w:rPr>
      </w:pPr>
      <w:r w:rsidRPr="1AB6159B">
        <w:rPr>
          <w:rFonts w:ascii="Arial" w:hAnsi="Arial" w:cs="Arial"/>
          <w:sz w:val="24"/>
          <w:szCs w:val="24"/>
        </w:rPr>
        <w:t xml:space="preserve">El Sistema reconoce la importancia de las veedurías ciudadanas y de las demás organizaciones comunitarias constituidas en ejercicio de los derechos de participación y control social previstos en la Constitución Política, la Ley 850 de 2003 y la Ley Estatutaria 1757 de 2015. En consecuencia, el sistema se articula con estas organizaciones mediante mecanismos de intercambio de información, seguimiento y fortalecimiento del control social, sin crearlas, reglamentarlas, dirigirlas o asignarles funciones distintas de las previstas en el ordenamiento jurídico, respetando plenamente su autonomía e independencia. </w:t>
      </w:r>
    </w:p>
    <w:p w:rsidRPr="003C4DD2" w:rsidR="00B61180" w:rsidP="00B61180" w:rsidRDefault="00B61180" w14:paraId="1B9F121C" w14:textId="77777777">
      <w:pPr>
        <w:ind w:left="360"/>
        <w:jc w:val="both"/>
        <w:rPr>
          <w:rFonts w:ascii="Arial" w:hAnsi="Arial" w:cs="Arial"/>
          <w:b/>
          <w:bCs/>
          <w:sz w:val="24"/>
          <w:szCs w:val="24"/>
        </w:rPr>
      </w:pPr>
      <w:r w:rsidRPr="1AB6159B">
        <w:rPr>
          <w:rFonts w:ascii="Arial" w:hAnsi="Arial" w:cs="Arial"/>
          <w:b/>
          <w:bCs/>
          <w:sz w:val="24"/>
          <w:szCs w:val="24"/>
        </w:rPr>
        <w:t xml:space="preserve">F. Juntas de Acción Comunal y acueductos comunitarios y veredales </w:t>
      </w:r>
    </w:p>
    <w:p w:rsidR="00B61180" w:rsidP="00B61180" w:rsidRDefault="00B61180" w14:paraId="40868FDE" w14:textId="77777777">
      <w:pPr>
        <w:jc w:val="both"/>
        <w:rPr>
          <w:rFonts w:ascii="Arial" w:hAnsi="Arial" w:cs="Arial"/>
          <w:sz w:val="24"/>
          <w:szCs w:val="24"/>
        </w:rPr>
      </w:pPr>
      <w:r w:rsidRPr="1AB6159B">
        <w:rPr>
          <w:rFonts w:ascii="Arial" w:hAnsi="Arial" w:cs="Arial"/>
          <w:sz w:val="24"/>
          <w:szCs w:val="24"/>
        </w:rPr>
        <w:t xml:space="preserve">Las Juntas de Acción Comunal, sus asociaciones y los acueductos comunitarios y veredales constituyen actores territoriales de especial relevancia por su permanente presencia en las veredas y comunidades del complejo de páramos Santurbán Berlín. El Sistema reconoce el papel que estas organizaciones desempeñan en la gestión comunitaria del territorio, en la protección de las fuentes hídricas, en la organización social y en el fortalecimiento de la participación ciudadana. </w:t>
      </w:r>
    </w:p>
    <w:p w:rsidR="00B61180" w:rsidP="00B61180" w:rsidRDefault="00B61180" w14:paraId="054A0D5F" w14:textId="77777777">
      <w:pPr>
        <w:jc w:val="both"/>
      </w:pPr>
      <w:r w:rsidRPr="1AB6159B">
        <w:rPr>
          <w:rFonts w:ascii="Arial" w:hAnsi="Arial" w:cs="Arial"/>
          <w:sz w:val="24"/>
          <w:szCs w:val="24"/>
        </w:rPr>
        <w:t xml:space="preserve">En este sentido, podrán articularse de manera voluntaria al sistema de Fiscalización como canales de comunicación, información, seguimiento y control social, facilitando el intercambio de información entre las comunidades y las instituciones. Dicha articulación no constituye una obligación jurídica impuesta por la resolución de delimitación, ni modifica las funciones que el ordenamiento jurídico asigna a estas organizaciones, sino que responde al principio de participación voluntaria, corresponsabilidad y fortalecimiento de la gobernanza ambiental del territorio. </w:t>
      </w:r>
    </w:p>
    <w:p w:rsidR="00B61180" w:rsidP="00B61180" w:rsidRDefault="00B61180" w14:paraId="04EFA133" w14:textId="77777777">
      <w:pPr>
        <w:jc w:val="both"/>
        <w:rPr>
          <w:rFonts w:ascii="Arial" w:hAnsi="Arial" w:cs="Arial"/>
          <w:sz w:val="24"/>
          <w:szCs w:val="24"/>
        </w:rPr>
      </w:pPr>
      <w:r w:rsidRPr="1AB6159B">
        <w:rPr>
          <w:rFonts w:ascii="Arial" w:hAnsi="Arial" w:cs="Arial"/>
          <w:sz w:val="24"/>
          <w:szCs w:val="24"/>
        </w:rPr>
        <w:t>En todos los casos, la participación de las diferentes formas organizativas reconocidas en este apartado se desarrollará bajo los principios de autonomía organizativa, participación efectiva, enfoque diferencial, coordinación institucional, acceso a la información, transparencia, respeto por la diversidad cultural y ejercicio del control social ambiental, garantizando que el sistema de fiscalización fortalezca las capacidades existentes en el territorio sin sustituirlas, duplicarlas o intervenir en su funcionamiento propio.</w:t>
      </w:r>
    </w:p>
    <w:p w:rsidR="00B61180" w:rsidP="00B61180" w:rsidRDefault="00B61180" w14:paraId="7807D107" w14:textId="77777777">
      <w:pPr>
        <w:ind w:left="360"/>
        <w:jc w:val="both"/>
        <w:rPr>
          <w:rFonts w:ascii="Arial" w:hAnsi="Arial" w:cs="Arial"/>
          <w:b/>
          <w:bCs/>
          <w:sz w:val="24"/>
          <w:szCs w:val="24"/>
        </w:rPr>
      </w:pPr>
      <w:r w:rsidRPr="003C4DD2">
        <w:rPr>
          <w:rFonts w:ascii="Arial" w:hAnsi="Arial" w:cs="Arial"/>
          <w:b/>
          <w:bCs/>
          <w:sz w:val="24"/>
          <w:szCs w:val="24"/>
        </w:rPr>
        <w:t>2.5 Instancia de Coordinación y Comisión Conjunta</w:t>
      </w:r>
      <w:r>
        <w:rPr>
          <w:rFonts w:ascii="Arial" w:hAnsi="Arial" w:cs="Arial"/>
          <w:b/>
          <w:bCs/>
          <w:sz w:val="24"/>
          <w:szCs w:val="24"/>
        </w:rPr>
        <w:t xml:space="preserve"> </w:t>
      </w:r>
    </w:p>
    <w:p w:rsidR="00B61180" w:rsidP="00B61180" w:rsidRDefault="00B61180" w14:paraId="5EEAFFE3" w14:textId="77777777">
      <w:pPr>
        <w:jc w:val="both"/>
        <w:rPr>
          <w:rFonts w:ascii="Arial" w:hAnsi="Arial" w:cs="Arial"/>
          <w:sz w:val="24"/>
          <w:szCs w:val="24"/>
        </w:rPr>
      </w:pPr>
      <w:r w:rsidRPr="1AB6159B">
        <w:rPr>
          <w:rFonts w:ascii="Arial" w:hAnsi="Arial" w:cs="Arial"/>
          <w:sz w:val="24"/>
          <w:szCs w:val="24"/>
        </w:rPr>
        <w:t xml:space="preserve">La Instancia de Coordinación constituye el principal escenario de gobernanza para la implementación de la resolución de delimitación del complejo de páramos jurisdicción Santurbán-Berlín y el órgano encargado de orientar la operación del </w:t>
      </w:r>
      <w:r w:rsidRPr="1AB6159B">
        <w:rPr>
          <w:rFonts w:ascii="Arial" w:hAnsi="Arial" w:cs="Arial"/>
          <w:sz w:val="24"/>
          <w:szCs w:val="24"/>
        </w:rPr>
        <w:t xml:space="preserve">sistema de fiscalización. En ella confluyen las autoridades públicas, las entidades territoriales, las comunidades y los demás actores que participan en la implementación de la resolución, con el propósito de fortalecer la coordinación institucional, la participación efectiva, la transparencia y la mejora continua del sistema. </w:t>
      </w:r>
    </w:p>
    <w:p w:rsidR="00B61180" w:rsidP="00B61180" w:rsidRDefault="00B61180" w14:paraId="78679B87" w14:textId="77777777">
      <w:pPr>
        <w:jc w:val="both"/>
        <w:rPr>
          <w:rFonts w:ascii="Arial" w:hAnsi="Arial" w:cs="Arial"/>
          <w:sz w:val="24"/>
          <w:szCs w:val="24"/>
        </w:rPr>
      </w:pPr>
      <w:r w:rsidRPr="1AB6159B">
        <w:rPr>
          <w:rFonts w:ascii="Arial" w:hAnsi="Arial" w:cs="Arial"/>
          <w:sz w:val="24"/>
          <w:szCs w:val="24"/>
        </w:rPr>
        <w:t xml:space="preserve">En desarrollo de esta función, la Instancia de Coordinación adopta el Protocolo Operativo del Sistema de Fiscalización, define los lineamientos para su funcionamiento, verifica de manera colegiada la consistencia e integridad de la información consolidada, conoce los reportes periódicos y el Balance Anual del Sistema, formula observaciones y recomendaciones para su fortalecimiento y orienta las acciones necesarias para mejorar progresivamente su implementación, respetando en todo momento las competencias constitucionales y legales de las entidades que lo integran. </w:t>
      </w:r>
    </w:p>
    <w:p w:rsidR="00B61180" w:rsidP="00B61180" w:rsidRDefault="00B61180" w14:paraId="39C671BF" w14:textId="77777777">
      <w:pPr>
        <w:jc w:val="both"/>
        <w:rPr>
          <w:rFonts w:ascii="Arial" w:hAnsi="Arial" w:cs="Arial"/>
          <w:sz w:val="24"/>
          <w:szCs w:val="24"/>
        </w:rPr>
      </w:pPr>
      <w:r w:rsidRPr="1AB6159B">
        <w:rPr>
          <w:rFonts w:ascii="Arial" w:hAnsi="Arial" w:cs="Arial"/>
          <w:sz w:val="24"/>
          <w:szCs w:val="24"/>
        </w:rPr>
        <w:t xml:space="preserve">La Instancia de Coordinación ejercerá la administración operativa del Sistema de Fiscalización, consolidando la información reportada por sus integrantes, administrando el repositorio de información, coordinando la actualización del Muro de Cristal, preparando los reportes que serán presentados a la Instancia y desarrollando las demás actividades que le sean asignadas en el Protocolo Operativo. </w:t>
      </w:r>
    </w:p>
    <w:p w:rsidR="00B61180" w:rsidP="00B61180" w:rsidRDefault="00B61180" w14:paraId="0D066EDA" w14:textId="77777777">
      <w:pPr>
        <w:jc w:val="both"/>
        <w:rPr>
          <w:rFonts w:ascii="Arial" w:hAnsi="Arial" w:cs="Arial"/>
          <w:sz w:val="24"/>
          <w:szCs w:val="24"/>
        </w:rPr>
      </w:pPr>
      <w:r w:rsidRPr="1AB6159B">
        <w:rPr>
          <w:rFonts w:ascii="Arial" w:hAnsi="Arial" w:cs="Arial"/>
          <w:sz w:val="24"/>
          <w:szCs w:val="24"/>
        </w:rPr>
        <w:t xml:space="preserve">En este contexto, el sistema de fiscalización constituye la herramienta mediante la cual la Instancia de Coordinación verifica el estado de implementación de la resolución de delimitación, a partir de la gestión integral de la información, la trazabilidad de las actuaciones institucionales, la participación de las comunidades, la transparencia y la evaluación permanente de su funcionamiento. Dicha verificación no implica el ejercicio de funciones de inspección, vigilancia, control o sanción, las cuales continúan radicadas en las autoridades competentes conforme a la Constitución Política y la ley. </w:t>
      </w:r>
    </w:p>
    <w:p w:rsidR="00B61180" w:rsidP="00B61180" w:rsidRDefault="00B61180" w14:paraId="4AD75917" w14:textId="77777777">
      <w:pPr>
        <w:jc w:val="both"/>
        <w:rPr>
          <w:rFonts w:ascii="Arial" w:hAnsi="Arial" w:cs="Arial"/>
          <w:sz w:val="24"/>
          <w:szCs w:val="24"/>
        </w:rPr>
      </w:pPr>
      <w:r w:rsidRPr="1AB6159B">
        <w:rPr>
          <w:rFonts w:ascii="Arial" w:hAnsi="Arial" w:cs="Arial"/>
          <w:sz w:val="24"/>
          <w:szCs w:val="24"/>
        </w:rPr>
        <w:t xml:space="preserve">Por su parte, la Comisión Conjunta, integrada por las autoridades ambientales con jurisdicción en el complejo de páramos jurisdicción Santurbán-Berlín, constituye el escenario de coordinación interinstitucional para el ejercicio articulado de las competencias concurrentes que les asigna el ordenamiento jurídico. Cuando durante la operación del sistema de fiscalización se identifiquen situaciones que requieran actuaciones coordinadas entre dichas autoridades, la información correspondiente será incorporada al sistema y puesta en conocimiento de la Comisión Conjunta, garantizando su trazabilidad y seguimiento, sin sustituir las competencias que le corresponden conforme al régimen jurídico aplicable. </w:t>
      </w:r>
    </w:p>
    <w:p w:rsidRPr="00FC4BE6" w:rsidR="00B61180" w:rsidP="00B61180" w:rsidRDefault="00B61180" w14:paraId="4281B487" w14:textId="77777777">
      <w:pPr>
        <w:jc w:val="both"/>
        <w:rPr>
          <w:rFonts w:ascii="Arial" w:hAnsi="Arial" w:cs="Arial"/>
          <w:sz w:val="24"/>
          <w:szCs w:val="24"/>
        </w:rPr>
      </w:pPr>
      <w:r w:rsidRPr="1AB6159B">
        <w:rPr>
          <w:rFonts w:ascii="Arial" w:hAnsi="Arial" w:cs="Arial"/>
          <w:sz w:val="24"/>
          <w:szCs w:val="24"/>
        </w:rPr>
        <w:t xml:space="preserve">De esta manera, el sistema de fiscalización se integra al modelo de gobernanza previsto para la implementación de la resolución de delimitación, facilitando el flujo </w:t>
      </w:r>
      <w:r w:rsidRPr="1AB6159B">
        <w:rPr>
          <w:rFonts w:ascii="Arial" w:hAnsi="Arial" w:cs="Arial"/>
          <w:sz w:val="24"/>
          <w:szCs w:val="24"/>
        </w:rPr>
        <w:t>permanente de información entre las comunidades, las autoridades ambientales, las entidades territoriales, la Instancia de Coordinación y la Comisión Conjunta, con el fin de fortalecer la coordinación institucional, la transparencia, la rendición de cuentas, el control social y la mejora continua del proceso de implementación.</w:t>
      </w:r>
    </w:p>
    <w:p w:rsidRPr="00FC4BE6" w:rsidR="00B61180" w:rsidP="00B61180" w:rsidRDefault="00B61180" w14:paraId="04F76B79" w14:textId="77777777">
      <w:pPr>
        <w:jc w:val="both"/>
        <w:rPr>
          <w:rFonts w:ascii="Arial" w:hAnsi="Arial" w:cs="Arial"/>
          <w:b/>
          <w:bCs/>
          <w:sz w:val="24"/>
          <w:szCs w:val="24"/>
        </w:rPr>
      </w:pPr>
      <w:r w:rsidRPr="00FC4BE6">
        <w:rPr>
          <w:rFonts w:ascii="Arial" w:hAnsi="Arial" w:cs="Arial"/>
          <w:b/>
          <w:bCs/>
          <w:sz w:val="24"/>
          <w:szCs w:val="24"/>
        </w:rPr>
        <w:t xml:space="preserve">CAPÍTULO 3. MECANISMOS OPERATIVOS DEL SISTEMA </w:t>
      </w:r>
    </w:p>
    <w:p w:rsidRPr="00FC4BE6" w:rsidR="00B61180" w:rsidP="00B61180" w:rsidRDefault="00B61180" w14:paraId="22E2BEED" w14:textId="77777777">
      <w:pPr>
        <w:jc w:val="both"/>
        <w:rPr>
          <w:rFonts w:ascii="Arial" w:hAnsi="Arial" w:cs="Arial"/>
          <w:sz w:val="24"/>
          <w:szCs w:val="24"/>
        </w:rPr>
      </w:pPr>
      <w:r w:rsidRPr="00FC4BE6">
        <w:rPr>
          <w:rFonts w:ascii="Arial" w:hAnsi="Arial" w:cs="Arial"/>
          <w:sz w:val="24"/>
          <w:szCs w:val="24"/>
        </w:rPr>
        <w:t>El presente capítulo desarrolla los mecanismos operativos mediante los cuales el sistema de fiscalización implementa su modelo de gestión para la implementación de la presente resolución, materializando los objetivos, principios y componentes descritos en los capítulos anteriores. Estos mecanismos permiten desarrollar la fase de fiscalización prevista en la Sentencia T-361 de 2017 mediante procesos de articulación institucional, gestión integral de la información, participación efectiva, transparencia, trazabilidad y mejora continua, dentro del ámbito de las competencias asignadas por la Constitución Política y la ley.  </w:t>
      </w:r>
    </w:p>
    <w:p w:rsidRPr="00FC4BE6" w:rsidR="00B61180" w:rsidP="00B61180" w:rsidRDefault="00B61180" w14:paraId="6FC345E3" w14:textId="77777777">
      <w:pPr>
        <w:jc w:val="both"/>
        <w:rPr>
          <w:rFonts w:ascii="Arial" w:hAnsi="Arial" w:cs="Arial"/>
          <w:sz w:val="24"/>
          <w:szCs w:val="24"/>
        </w:rPr>
      </w:pPr>
      <w:r w:rsidRPr="00FC4BE6">
        <w:rPr>
          <w:rFonts w:ascii="Arial" w:hAnsi="Arial" w:cs="Arial"/>
          <w:sz w:val="24"/>
          <w:szCs w:val="24"/>
        </w:rPr>
        <w:t>En este contexto, los mecanismos aquí desarrollados constituyen los instrumentos mediante los cuales el sistema gestiona, articula, consolida, registra, hace trazable y divulga la información relacionada con la implementación de la presente resolución y con las actuaciones adelantadas por las entidades competentes, así como con los procesos de participación ciudadana y control social que la acompañan.  </w:t>
      </w:r>
    </w:p>
    <w:p w:rsidRPr="00FC4BE6" w:rsidR="00B61180" w:rsidP="00B61180" w:rsidRDefault="00B61180" w14:paraId="315D13B8" w14:textId="77777777">
      <w:pPr>
        <w:jc w:val="both"/>
        <w:rPr>
          <w:rFonts w:ascii="Arial" w:hAnsi="Arial" w:cs="Arial"/>
          <w:sz w:val="24"/>
          <w:szCs w:val="24"/>
        </w:rPr>
      </w:pPr>
      <w:r w:rsidRPr="00FC4BE6">
        <w:rPr>
          <w:rFonts w:ascii="Arial" w:hAnsi="Arial" w:cs="Arial"/>
          <w:sz w:val="24"/>
          <w:szCs w:val="24"/>
        </w:rPr>
        <w:t>Su propósito consiste en hacer operativa la fiscalización prevista en la Sentencia T-361 de 2017 mediante mecanismos que fortalezcan la articulación institucional, la gestión integral de la información, la participación efectiva de las comunidades, la transparencia, la trazabilidad de las actuaciones y el ejercicio del control social, contribuyendo a la implementación de la resolución de delimitación sin sustituir las competencias de las autoridades públicas. En concordancia con la estructura construida durante el proceso participativo y concertada con las comunidades y demás actores del territorio, el presente capítulo mantiene los tres ejes estratégicos que orientan el funcionamiento del sistema de fiscalización:  </w:t>
      </w:r>
    </w:p>
    <w:p w:rsidRPr="00FC4BE6" w:rsidR="00B61180" w:rsidP="00B61180" w:rsidRDefault="00B61180" w14:paraId="5ACA563B" w14:textId="77777777">
      <w:pPr>
        <w:jc w:val="both"/>
        <w:rPr>
          <w:rFonts w:ascii="Arial" w:hAnsi="Arial" w:cs="Arial"/>
          <w:sz w:val="24"/>
          <w:szCs w:val="24"/>
        </w:rPr>
      </w:pPr>
      <w:r w:rsidRPr="00FC4BE6">
        <w:rPr>
          <w:rFonts w:ascii="Arial" w:hAnsi="Arial" w:cs="Arial"/>
          <w:sz w:val="24"/>
          <w:szCs w:val="24"/>
        </w:rPr>
        <w:t>• Eje 1. Fortalecimiento de la fiscalización.  </w:t>
      </w:r>
    </w:p>
    <w:p w:rsidRPr="00FC4BE6" w:rsidR="00B61180" w:rsidP="00B61180" w:rsidRDefault="00B61180" w14:paraId="1F5AEDDA" w14:textId="77777777">
      <w:pPr>
        <w:jc w:val="both"/>
        <w:rPr>
          <w:rFonts w:ascii="Arial" w:hAnsi="Arial" w:cs="Arial"/>
          <w:sz w:val="24"/>
          <w:szCs w:val="24"/>
        </w:rPr>
      </w:pPr>
      <w:r w:rsidRPr="00FC4BE6">
        <w:rPr>
          <w:rFonts w:ascii="Arial" w:hAnsi="Arial" w:cs="Arial"/>
          <w:sz w:val="24"/>
          <w:szCs w:val="24"/>
        </w:rPr>
        <w:t>• Eje 2. Instrumentos de la fiscalización.  </w:t>
      </w:r>
    </w:p>
    <w:p w:rsidRPr="00FC4BE6" w:rsidR="00B61180" w:rsidP="00B61180" w:rsidRDefault="00B61180" w14:paraId="7E63848E" w14:textId="77777777">
      <w:pPr>
        <w:jc w:val="both"/>
        <w:rPr>
          <w:rFonts w:ascii="Arial" w:hAnsi="Arial" w:cs="Arial"/>
          <w:sz w:val="24"/>
          <w:szCs w:val="24"/>
        </w:rPr>
      </w:pPr>
      <w:r w:rsidRPr="00FC4BE6">
        <w:rPr>
          <w:rFonts w:ascii="Arial" w:hAnsi="Arial" w:cs="Arial"/>
          <w:sz w:val="24"/>
          <w:szCs w:val="24"/>
        </w:rPr>
        <w:t>• Eje 3. Evaluación y seguimiento de la fiscalización.  </w:t>
      </w:r>
    </w:p>
    <w:p w:rsidRPr="00FC4BE6" w:rsidR="00B61180" w:rsidP="00B61180" w:rsidRDefault="00B61180" w14:paraId="4AE13CE9" w14:textId="77777777">
      <w:pPr>
        <w:jc w:val="both"/>
        <w:rPr>
          <w:rFonts w:ascii="Arial" w:hAnsi="Arial" w:cs="Arial"/>
          <w:sz w:val="24"/>
          <w:szCs w:val="24"/>
        </w:rPr>
      </w:pPr>
      <w:r w:rsidRPr="00FC4BE6">
        <w:rPr>
          <w:rFonts w:ascii="Arial" w:hAnsi="Arial" w:cs="Arial"/>
          <w:sz w:val="24"/>
          <w:szCs w:val="24"/>
        </w:rPr>
        <w:t xml:space="preserve">Estos ejes constituyen los componentes operativos mediante los cuales el Sistema articula la actuación de los actores permanentes, los actores activables y las diferentes formas de participación comunitaria, garantizando una implementación integral, coordinada y progresiva de la resolución de delimitación. La estructura aquí desarrollada conserva los elementos construidos durante las jornadas de </w:t>
      </w:r>
      <w:r w:rsidRPr="00FC4BE6">
        <w:rPr>
          <w:rFonts w:ascii="Arial" w:hAnsi="Arial" w:cs="Arial"/>
          <w:sz w:val="24"/>
          <w:szCs w:val="24"/>
        </w:rPr>
        <w:t>concertación y los complementa con las precisiones jurídicas, técnicas y operativas derivadas del análisis del marco constitucional, legal y jurisprudencial aplicable, particularmente en lo relacionado con la distribución de competencias entre las entidades participantes, los procedimientos administrativos vigentes, los mecanismos de coordinación institucional, los plazos establecidos en la normativa aplicable y las capacidades institucionales identificadas durante el proceso de construcción del Sistema.  </w:t>
      </w:r>
    </w:p>
    <w:p w:rsidRPr="00FC4BE6" w:rsidR="00B61180" w:rsidP="00B61180" w:rsidRDefault="00B61180" w14:paraId="3DEAA444" w14:textId="77777777">
      <w:pPr>
        <w:jc w:val="both"/>
        <w:rPr>
          <w:rFonts w:ascii="Arial" w:hAnsi="Arial" w:cs="Arial"/>
          <w:sz w:val="24"/>
          <w:szCs w:val="24"/>
        </w:rPr>
      </w:pPr>
      <w:r w:rsidRPr="00FC4BE6">
        <w:rPr>
          <w:rFonts w:ascii="Arial" w:hAnsi="Arial" w:cs="Arial"/>
          <w:sz w:val="24"/>
          <w:szCs w:val="24"/>
        </w:rPr>
        <w:t>El sistema de fiscalización no constituye una fuente autónoma de producción de información ni una instancia encargada de generar nuevos registros administrativos. Su funcionamiento se fundamenta en la articulación, consolidación, organización, trazabilidad y puesta a disposición de la información que, en ejercicio de sus competencias, funciones o formas propias de organización, producen los actores que integran el Sistema. En consecuencia, el sistema no crea información paralela ni duplica los sistemas de información existentes, sino que integra y hace visible la información generada por las autoridades públicas, las entidades territoriales, las comunidades, las organizaciones sociales y los demás actores participantes, con el fin de fortalecer la coordinación institucional, la transparencia, el acceso a la información pública ambiental y el ejercicio del control social previsto en la Sentencia T-361 de 2017.  </w:t>
      </w:r>
    </w:p>
    <w:p w:rsidRPr="00FC4BE6" w:rsidR="00B61180" w:rsidP="00B61180" w:rsidRDefault="00B61180" w14:paraId="6DAC9493" w14:textId="77777777">
      <w:pPr>
        <w:jc w:val="both"/>
        <w:rPr>
          <w:rFonts w:ascii="Arial" w:hAnsi="Arial" w:cs="Arial"/>
          <w:sz w:val="24"/>
          <w:szCs w:val="24"/>
        </w:rPr>
      </w:pPr>
      <w:r w:rsidRPr="00FC4BE6">
        <w:rPr>
          <w:rFonts w:ascii="Arial" w:hAnsi="Arial" w:cs="Arial"/>
          <w:sz w:val="24"/>
          <w:szCs w:val="24"/>
        </w:rPr>
        <w:t>En consecuencia, los mecanismos operativos previstos en este capítulo deberán interpretarse y aplicarse de manera armónica con los principios que orientan el Sistema de Fiscalización, garantizando que este opere como un sistema de gestión para la implementación de la presente resolución, sin modificar la distribución constitucional y legal de competencias ni sustituir las funciones asignadas a las autoridades públicas. </w:t>
      </w:r>
    </w:p>
    <w:p w:rsidRPr="00FC4BE6" w:rsidR="00B61180" w:rsidP="00B61180" w:rsidRDefault="00B61180" w14:paraId="10CCBD5F" w14:textId="77777777">
      <w:pPr>
        <w:jc w:val="both"/>
        <w:rPr>
          <w:rFonts w:ascii="Arial" w:hAnsi="Arial" w:cs="Arial"/>
          <w:sz w:val="24"/>
          <w:szCs w:val="24"/>
        </w:rPr>
      </w:pPr>
      <w:r w:rsidRPr="00FC4BE6">
        <w:rPr>
          <w:rFonts w:ascii="Arial" w:hAnsi="Arial" w:cs="Arial"/>
          <w:sz w:val="24"/>
          <w:szCs w:val="24"/>
        </w:rPr>
        <w:t>3.1 Eje 1. Fortalecimiento a la fiscalización  </w:t>
      </w:r>
    </w:p>
    <w:p w:rsidRPr="00FC4BE6" w:rsidR="00B61180" w:rsidP="00B61180" w:rsidRDefault="00B61180" w14:paraId="1989A3A1" w14:textId="77777777">
      <w:pPr>
        <w:jc w:val="both"/>
        <w:rPr>
          <w:rFonts w:ascii="Arial" w:hAnsi="Arial" w:cs="Arial"/>
          <w:sz w:val="24"/>
          <w:szCs w:val="24"/>
        </w:rPr>
      </w:pPr>
      <w:r w:rsidRPr="00FC4BE6">
        <w:rPr>
          <w:rFonts w:ascii="Arial" w:hAnsi="Arial" w:cs="Arial"/>
          <w:sz w:val="24"/>
          <w:szCs w:val="24"/>
        </w:rPr>
        <w:t>Este eje desarrolla los mecanismos operativos mediante los cuales el sistema de fiscalización fortalece la detección temprana, el registro, la articulación institucional, la trazabilidad y el seguimiento de las alertas relacionadas con actividades prohibidas o situaciones que puedan afectar el ecosistema de páramo, facilitando la actuación oportuna de las autoridades competentes y fortaleciendo el ejercicio del control social por parte de las comunidades. Su finalidad es contribuir a la verificación del cumplimiento de las decisiones adoptadas en la resolución de delimitación, promoviendo la coordinación entre los actores permanentes y los actores activables del Sistema, sin sustituir las competencias constitucionales y legales de inspección, vigilancia, control, seguimiento, evaluación, investigación o sanción que corresponden a las autoridades públicas competentes.  </w:t>
      </w:r>
    </w:p>
    <w:p w:rsidRPr="00FC4BE6" w:rsidR="00B61180" w:rsidP="00B61180" w:rsidRDefault="00B61180" w14:paraId="50572138" w14:textId="77777777">
      <w:pPr>
        <w:jc w:val="both"/>
        <w:rPr>
          <w:rFonts w:ascii="Arial" w:hAnsi="Arial" w:cs="Arial"/>
          <w:sz w:val="24"/>
          <w:szCs w:val="24"/>
        </w:rPr>
      </w:pPr>
      <w:r w:rsidRPr="00FC4BE6">
        <w:rPr>
          <w:rFonts w:ascii="Arial" w:hAnsi="Arial" w:cs="Arial"/>
          <w:sz w:val="24"/>
          <w:szCs w:val="24"/>
        </w:rPr>
        <w:t>Para ello este eje se basa en seis pilares centrales:  </w:t>
      </w:r>
    </w:p>
    <w:p w:rsidRPr="00FC4BE6" w:rsidR="00B61180" w:rsidP="00B61180" w:rsidRDefault="00B61180" w14:paraId="39A230FE" w14:textId="77777777">
      <w:pPr>
        <w:numPr>
          <w:ilvl w:val="0"/>
          <w:numId w:val="65"/>
        </w:numPr>
        <w:jc w:val="both"/>
        <w:rPr>
          <w:rFonts w:ascii="Arial" w:hAnsi="Arial" w:cs="Arial"/>
          <w:sz w:val="24"/>
          <w:szCs w:val="24"/>
        </w:rPr>
      </w:pPr>
      <w:r w:rsidRPr="00FC4BE6">
        <w:rPr>
          <w:rFonts w:ascii="Arial" w:hAnsi="Arial" w:cs="Arial"/>
          <w:sz w:val="24"/>
          <w:szCs w:val="24"/>
        </w:rPr>
        <w:t>El proceso de monitoreo y detección temprana de actividades que puedan poner el riesgo el ecosistema o estén prohibidas, este puede realizarse desde mecanismos comunitarios de observación territorial. </w:t>
      </w:r>
    </w:p>
    <w:p w:rsidRPr="00FC4BE6" w:rsidR="00B61180" w:rsidP="00B61180" w:rsidRDefault="00B61180" w14:paraId="1E3E5D56" w14:textId="77777777">
      <w:pPr>
        <w:numPr>
          <w:ilvl w:val="0"/>
          <w:numId w:val="66"/>
        </w:numPr>
        <w:jc w:val="both"/>
        <w:rPr>
          <w:rFonts w:ascii="Arial" w:hAnsi="Arial" w:cs="Arial"/>
          <w:sz w:val="24"/>
          <w:szCs w:val="24"/>
        </w:rPr>
      </w:pPr>
      <w:r w:rsidRPr="00FC4BE6">
        <w:rPr>
          <w:rFonts w:ascii="Arial" w:hAnsi="Arial" w:cs="Arial"/>
          <w:sz w:val="24"/>
          <w:szCs w:val="24"/>
        </w:rPr>
        <w:t>El reporte sencillo de estas situaciones desde alertas tempranas a las autoridades competentes </w:t>
      </w:r>
    </w:p>
    <w:p w:rsidRPr="00FC4BE6" w:rsidR="00B61180" w:rsidP="00B61180" w:rsidRDefault="00B61180" w14:paraId="598F76A5" w14:textId="77777777">
      <w:pPr>
        <w:numPr>
          <w:ilvl w:val="0"/>
          <w:numId w:val="67"/>
        </w:numPr>
        <w:jc w:val="both"/>
        <w:rPr>
          <w:rFonts w:ascii="Arial" w:hAnsi="Arial" w:cs="Arial"/>
          <w:sz w:val="24"/>
          <w:szCs w:val="24"/>
        </w:rPr>
      </w:pPr>
      <w:r w:rsidRPr="00FC4BE6">
        <w:rPr>
          <w:rFonts w:ascii="Arial" w:hAnsi="Arial" w:cs="Arial"/>
          <w:sz w:val="24"/>
          <w:szCs w:val="24"/>
        </w:rPr>
        <w:t>El traslado entre autoridades conforme al tipo de riesgo y las competencias asignadas por ley y la jurisdicción vigente.  </w:t>
      </w:r>
    </w:p>
    <w:p w:rsidRPr="00FC4BE6" w:rsidR="00B61180" w:rsidP="00B61180" w:rsidRDefault="00B61180" w14:paraId="6FC77FF0" w14:textId="77777777">
      <w:pPr>
        <w:numPr>
          <w:ilvl w:val="0"/>
          <w:numId w:val="68"/>
        </w:numPr>
        <w:jc w:val="both"/>
        <w:rPr>
          <w:rFonts w:ascii="Arial" w:hAnsi="Arial" w:cs="Arial"/>
          <w:sz w:val="24"/>
          <w:szCs w:val="24"/>
        </w:rPr>
      </w:pPr>
      <w:r w:rsidRPr="00FC4BE6">
        <w:rPr>
          <w:rFonts w:ascii="Arial" w:hAnsi="Arial" w:cs="Arial"/>
          <w:sz w:val="24"/>
          <w:szCs w:val="24"/>
        </w:rPr>
        <w:t>Seguimiento del estado de las alertas de manera abierta y transparente </w:t>
      </w:r>
    </w:p>
    <w:p w:rsidRPr="00FC4BE6" w:rsidR="00B61180" w:rsidP="00B61180" w:rsidRDefault="00B61180" w14:paraId="53841EE2" w14:textId="77777777">
      <w:pPr>
        <w:numPr>
          <w:ilvl w:val="0"/>
          <w:numId w:val="69"/>
        </w:numPr>
        <w:jc w:val="both"/>
        <w:rPr>
          <w:rFonts w:ascii="Arial" w:hAnsi="Arial" w:cs="Arial"/>
          <w:sz w:val="24"/>
          <w:szCs w:val="24"/>
        </w:rPr>
      </w:pPr>
      <w:r w:rsidRPr="00FC4BE6">
        <w:rPr>
          <w:rFonts w:ascii="Arial" w:hAnsi="Arial" w:cs="Arial"/>
          <w:sz w:val="24"/>
          <w:szCs w:val="24"/>
        </w:rPr>
        <w:t>La atención de la alerta </w:t>
      </w:r>
    </w:p>
    <w:p w:rsidRPr="00FC4BE6" w:rsidR="00B61180" w:rsidP="00B61180" w:rsidRDefault="00B61180" w14:paraId="0EA1B852" w14:textId="77777777">
      <w:pPr>
        <w:numPr>
          <w:ilvl w:val="0"/>
          <w:numId w:val="70"/>
        </w:numPr>
        <w:jc w:val="both"/>
        <w:rPr>
          <w:rFonts w:ascii="Arial" w:hAnsi="Arial" w:cs="Arial"/>
          <w:sz w:val="24"/>
          <w:szCs w:val="24"/>
        </w:rPr>
      </w:pPr>
      <w:r w:rsidRPr="00FC4BE6">
        <w:rPr>
          <w:rFonts w:ascii="Arial" w:hAnsi="Arial" w:cs="Arial"/>
          <w:sz w:val="24"/>
          <w:szCs w:val="24"/>
        </w:rPr>
        <w:t>La protección y la garantía de un entorno seguro para quien realiza el reporte. </w:t>
      </w:r>
    </w:p>
    <w:p w:rsidRPr="00FC4BE6" w:rsidR="00B61180" w:rsidP="00B61180" w:rsidRDefault="00B61180" w14:paraId="6D28CAB3" w14:textId="77777777">
      <w:pPr>
        <w:jc w:val="both"/>
        <w:rPr>
          <w:rFonts w:ascii="Arial" w:hAnsi="Arial" w:cs="Arial"/>
          <w:sz w:val="24"/>
          <w:szCs w:val="24"/>
        </w:rPr>
      </w:pPr>
      <w:r w:rsidRPr="00FC4BE6">
        <w:rPr>
          <w:rFonts w:ascii="Arial" w:hAnsi="Arial" w:cs="Arial"/>
          <w:sz w:val="24"/>
          <w:szCs w:val="24"/>
        </w:rPr>
        <w:t>En desarrollo de este eje, el Sistema de fiscalización no constituye un canal independiente para la recepción de denuncias, no produce información primaria, no genera actuaciones administrativas ni adopta decisiones sobre las situaciones reportadas. Su funcionamiento se fundamenta en la articulación, consolidación y trazabilidad de la información que, en ejercicio de sus competencias o de sus formas propias de organización, producen las autoridades ambientales, las entidades territoriales, las comunidades, las organizaciones sociales y los demás actores que integran el Sistema.  </w:t>
      </w:r>
    </w:p>
    <w:p w:rsidRPr="00FC4BE6" w:rsidR="00B61180" w:rsidP="00B61180" w:rsidRDefault="00B61180" w14:paraId="50F5159C" w14:textId="77777777">
      <w:pPr>
        <w:jc w:val="both"/>
        <w:rPr>
          <w:rFonts w:ascii="Arial" w:hAnsi="Arial" w:cs="Arial"/>
          <w:sz w:val="24"/>
          <w:szCs w:val="24"/>
        </w:rPr>
      </w:pPr>
      <w:r w:rsidRPr="00FC4BE6">
        <w:rPr>
          <w:rFonts w:ascii="Arial" w:hAnsi="Arial" w:cs="Arial"/>
          <w:sz w:val="24"/>
          <w:szCs w:val="24"/>
        </w:rPr>
        <w:t>Así mismo, este eje reconoce que la observación permanente que realizan las comunidades sobre el territorio constituye una fuente fundamental de información para la detección temprana de posibles afectaciones al ecosistema. En consecuencia, promueve mecanismos de articulación entre el conocimiento comunitario y la actuación institucional, fortaleciendo la participación ciudadana y el control social ambiental, sin transformar a las comunidades en autoridades de vigilancia ni asignarles funciones administrativas distintas de las previstas en el ordenamiento jurídico. En este contexto, los mecanismos operativos desarrollados en el presente eje se orientan a garantizar que las alertas sean oportunamente conocidas por las autoridades competentes, que las actuaciones institucionales puedan ser objeto de seguimiento y trazabilidad, y que las comunidades dispongan de información verificable para ejercer el control social y participar activamente en la fase de fiscalización prevista por la Sentencia T-361 de 2017. En ese sentido, los seis ejes se explican a continuación. </w:t>
      </w:r>
    </w:p>
    <w:p w:rsidRPr="00FC4BE6" w:rsidR="00B61180" w:rsidP="00B61180" w:rsidRDefault="00B61180" w14:paraId="654AE0C1" w14:textId="77777777">
      <w:pPr>
        <w:jc w:val="both"/>
        <w:rPr>
          <w:rFonts w:ascii="Arial" w:hAnsi="Arial" w:cs="Arial"/>
          <w:sz w:val="24"/>
          <w:szCs w:val="24"/>
        </w:rPr>
      </w:pPr>
      <w:r w:rsidRPr="00FC4BE6">
        <w:rPr>
          <w:rFonts w:ascii="Arial" w:hAnsi="Arial" w:cs="Arial"/>
          <w:sz w:val="24"/>
          <w:szCs w:val="24"/>
        </w:rPr>
        <w:t>3.1.1 Radicación de alertas  </w:t>
      </w:r>
    </w:p>
    <w:p w:rsidRPr="00FC4BE6" w:rsidR="00B61180" w:rsidP="00B61180" w:rsidRDefault="00B61180" w14:paraId="049D3936" w14:textId="77777777">
      <w:pPr>
        <w:jc w:val="both"/>
        <w:rPr>
          <w:rFonts w:ascii="Arial" w:hAnsi="Arial" w:cs="Arial"/>
          <w:sz w:val="24"/>
          <w:szCs w:val="24"/>
        </w:rPr>
      </w:pPr>
      <w:r w:rsidRPr="00FC4BE6">
        <w:rPr>
          <w:rFonts w:ascii="Arial" w:hAnsi="Arial" w:cs="Arial"/>
          <w:sz w:val="24"/>
          <w:szCs w:val="24"/>
        </w:rPr>
        <w:t>Las alertas relacionadas con actividades prohibidas o con situaciones que puedan afectar el ecosistema de páramo deberán radicarse, como regla general, a través de los canales institucionales dispuestos por la autoridad ambiental o la entidad pública competente, de conformidad con las funciones que el ordenamiento jurídico les atribuye. Dichos canales fueron identificados durante el diagnóstico de capacidades institucionales realizado para la construcción del presente Sistema de Fiscalización y constituyen los mecanismos oficiales para la recepción y trámite de las solicitudes, peticiones, denuncias o demás actuaciones que correspondan.  </w:t>
      </w:r>
    </w:p>
    <w:p w:rsidRPr="00FC4BE6" w:rsidR="00B61180" w:rsidP="00B61180" w:rsidRDefault="00B61180" w14:paraId="1EA89214" w14:textId="77777777">
      <w:pPr>
        <w:jc w:val="both"/>
        <w:rPr>
          <w:rFonts w:ascii="Arial" w:hAnsi="Arial" w:cs="Arial"/>
          <w:sz w:val="24"/>
          <w:szCs w:val="24"/>
        </w:rPr>
      </w:pPr>
      <w:r w:rsidRPr="00FC4BE6">
        <w:rPr>
          <w:rFonts w:ascii="Arial" w:hAnsi="Arial" w:cs="Arial"/>
          <w:sz w:val="24"/>
          <w:szCs w:val="24"/>
        </w:rPr>
        <w:t>En consecuencia, el sistema de Fiscalización no crea canales adicionales de recepción, no establece ventanillas paralelas, no recibe directamente alertas, no clasifica los hechos reportados ni adopta decisiones sobre su procedencia o trámite. Su función consiste en articular los mecanismos institucionales existentes, facilitar la trazabilidad de la información generada por las entidades competentes y fortalecer la coordinación institucional y el control social durante el seguimiento de las actuaciones adelantadas.  </w:t>
      </w:r>
    </w:p>
    <w:p w:rsidRPr="00FC4BE6" w:rsidR="00B61180" w:rsidP="00B61180" w:rsidRDefault="00B61180" w14:paraId="43F8CB5A" w14:textId="77777777">
      <w:pPr>
        <w:jc w:val="both"/>
        <w:rPr>
          <w:rFonts w:ascii="Arial" w:hAnsi="Arial" w:cs="Arial"/>
          <w:sz w:val="24"/>
          <w:szCs w:val="24"/>
        </w:rPr>
      </w:pPr>
      <w:r w:rsidRPr="00FC4BE6">
        <w:rPr>
          <w:rFonts w:ascii="Arial" w:hAnsi="Arial" w:cs="Arial"/>
          <w:sz w:val="24"/>
          <w:szCs w:val="24"/>
        </w:rPr>
        <w:t>Cuando las condiciones geográficas, de conectividad, accesibilidad o disponibilidad institucional dificulten el acceso directo de las comunidades a los canales oficiales de atención, circunstancia identificada durante las jornadas de concertación para diversos sectores del complejo de páramos Santurbán Berlín, las Unidades Municipales de Asistencia Técnica Agropecuaria (UMATA), las inspecciones de policía municipales o las dependencias que hagan sus veces, podrán actuar como puntos de contacto territorial, facilitando la radicación de la información ante la autoridad competente.  </w:t>
      </w:r>
    </w:p>
    <w:p w:rsidRPr="00FC4BE6" w:rsidR="00B61180" w:rsidP="00B61180" w:rsidRDefault="00B61180" w14:paraId="3A9E1D7A" w14:textId="77777777">
      <w:pPr>
        <w:jc w:val="both"/>
        <w:rPr>
          <w:rFonts w:ascii="Arial" w:hAnsi="Arial" w:cs="Arial"/>
          <w:sz w:val="24"/>
          <w:szCs w:val="24"/>
        </w:rPr>
      </w:pPr>
      <w:r w:rsidRPr="00FC4BE6">
        <w:rPr>
          <w:rFonts w:ascii="Arial" w:hAnsi="Arial" w:cs="Arial"/>
          <w:sz w:val="24"/>
          <w:szCs w:val="24"/>
        </w:rPr>
        <w:t>La actuación de estos puntos de contacto territorial se limita exclusivamente a facilitar el acceso de las comunidades a los canales oficiales de radicación, recibiendo la información que la persona voluntariamente decida presentar y remitiéndola, sin alteraciones, a la autoridad competente por los medios institucionales disponibles, procurando dejar constancia de la radicación o del número de identificación asignado por la entidad receptora cuando ello resulte posible.  </w:t>
      </w:r>
    </w:p>
    <w:p w:rsidRPr="00FC4BE6" w:rsidR="00B61180" w:rsidP="00B61180" w:rsidRDefault="00B61180" w14:paraId="5EDDACBB" w14:textId="77777777">
      <w:pPr>
        <w:jc w:val="both"/>
        <w:rPr>
          <w:rFonts w:ascii="Arial" w:hAnsi="Arial" w:cs="Arial"/>
          <w:sz w:val="24"/>
          <w:szCs w:val="24"/>
        </w:rPr>
      </w:pPr>
      <w:r w:rsidRPr="00FC4BE6">
        <w:rPr>
          <w:rFonts w:ascii="Arial" w:hAnsi="Arial" w:cs="Arial"/>
          <w:sz w:val="24"/>
          <w:szCs w:val="24"/>
        </w:rPr>
        <w:t xml:space="preserve">actuación no implica el ejercicio de funciones de autoridad ambiental, inspección, vigilancia, control, investigación, valoración técnica, clasificación de los hechos, calificación jurídica, priorización de casos, decisión administrativa o trámite de fondo, competencias que continúan siendo ejercidas exclusivamente por las autoridades legalmente competentes. Una vez radicada la alerta mediante los canales oficiales, la información generada por la entidad competente constituye el insumo que alimenta el sistema de fiscalización para efectos de su registro, seguimiento, trazabilidad y consolidación de reportes. En consecuencia, el Sistema no genera registros </w:t>
      </w:r>
      <w:r w:rsidRPr="00FC4BE6">
        <w:rPr>
          <w:rFonts w:ascii="Arial" w:hAnsi="Arial" w:cs="Arial"/>
          <w:sz w:val="24"/>
          <w:szCs w:val="24"/>
        </w:rPr>
        <w:t>paralelos ni información independiente, sino que se soporta en la información oficialmente producida por las entidades públicas y en la información aportada por las comunidades en ejercicio del control social, garantizando la coherencia, integridad y trazabilidad de las actuaciones institucionales. </w:t>
      </w:r>
    </w:p>
    <w:p w:rsidRPr="00FC4BE6" w:rsidR="00B61180" w:rsidP="00B61180" w:rsidRDefault="00B61180" w14:paraId="793872D9" w14:textId="77777777">
      <w:pPr>
        <w:jc w:val="both"/>
        <w:rPr>
          <w:rFonts w:ascii="Arial" w:hAnsi="Arial" w:cs="Arial"/>
          <w:sz w:val="24"/>
          <w:szCs w:val="24"/>
        </w:rPr>
      </w:pPr>
      <w:r w:rsidRPr="00FC4BE6">
        <w:rPr>
          <w:rFonts w:ascii="Arial" w:hAnsi="Arial" w:cs="Arial"/>
          <w:sz w:val="24"/>
          <w:szCs w:val="24"/>
        </w:rPr>
        <w:t>3.1.2 Mecanismos comunitarios de observación territorial  </w:t>
      </w:r>
    </w:p>
    <w:p w:rsidRPr="00FC4BE6" w:rsidR="00B61180" w:rsidP="00B61180" w:rsidRDefault="00B61180" w14:paraId="059AE4C6" w14:textId="77777777">
      <w:pPr>
        <w:jc w:val="both"/>
        <w:rPr>
          <w:rFonts w:ascii="Arial" w:hAnsi="Arial" w:cs="Arial"/>
          <w:sz w:val="24"/>
          <w:szCs w:val="24"/>
        </w:rPr>
      </w:pPr>
      <w:r w:rsidRPr="00FC4BE6">
        <w:rPr>
          <w:rFonts w:ascii="Arial" w:hAnsi="Arial" w:cs="Arial"/>
          <w:sz w:val="24"/>
          <w:szCs w:val="24"/>
        </w:rPr>
        <w:t>El sistema de fiscalización reconoce que la observación cotidiana que realizan las comunidades sobre el territorio constituye una de las principales fuentes de información para la identificación temprana de situaciones que puedan afectar el ecosistema de páramo. Esta observación permanente refleja el conocimiento acumulado por quienes habitan, usan, protegen y gestionan el territorio y constituye un elemento esencial para fortalecer la participación ciudadana, el control social ambiental y la implementación de la fase de fiscalización prevista por la Sentencia T-361 de 2017.  </w:t>
      </w:r>
    </w:p>
    <w:p w:rsidRPr="00FC4BE6" w:rsidR="00B61180" w:rsidP="00B61180" w:rsidRDefault="00B61180" w14:paraId="22472FD0" w14:textId="77777777">
      <w:pPr>
        <w:jc w:val="both"/>
        <w:rPr>
          <w:rFonts w:ascii="Arial" w:hAnsi="Arial" w:cs="Arial"/>
          <w:sz w:val="24"/>
          <w:szCs w:val="24"/>
        </w:rPr>
      </w:pPr>
      <w:r w:rsidRPr="00FC4BE6">
        <w:rPr>
          <w:rFonts w:ascii="Arial" w:hAnsi="Arial" w:cs="Arial"/>
          <w:sz w:val="24"/>
          <w:szCs w:val="24"/>
        </w:rPr>
        <w:t>En este contexto, las comunidades campesinas, las Juntas de Acción Comunal, los acueductos comunitarios y veredales, las organizaciones sociales y comunitarias y las demás formas organizativas presentes en el territorio podrán desarrollar, fortalecer o adaptar, en ejercicio de su autonomía, de sus formas propias de organización y de su gobernanza territorial, los mecanismos de observación, seguimiento y registro que consideren más adecuados a sus realidades sociales, culturales y ambientales. El Sistema de Fiscalización reconoce y respeta dichos mecanismos, pero no los crea, reglamenta, estandariza ni impone un modelo único de observación comunitaria, entendiendo que su diversidad constituye una fortaleza para la protección del ecosistema y para el ejercicio del control social ambiental.  </w:t>
      </w:r>
    </w:p>
    <w:p w:rsidRPr="00FC4BE6" w:rsidR="00B61180" w:rsidP="00B61180" w:rsidRDefault="00B61180" w14:paraId="2001F4AA" w14:textId="77777777">
      <w:pPr>
        <w:jc w:val="both"/>
        <w:rPr>
          <w:rFonts w:ascii="Arial" w:hAnsi="Arial" w:cs="Arial"/>
          <w:sz w:val="24"/>
          <w:szCs w:val="24"/>
        </w:rPr>
      </w:pPr>
      <w:r w:rsidRPr="00FC4BE6">
        <w:rPr>
          <w:rFonts w:ascii="Arial" w:hAnsi="Arial" w:cs="Arial"/>
          <w:sz w:val="24"/>
          <w:szCs w:val="24"/>
        </w:rPr>
        <w:t>A manera ilustrativa y sin carácter taxativo, las comunidades podrán implementar, total o parcialmente, mecanismos como los siguientes:  </w:t>
      </w:r>
    </w:p>
    <w:p w:rsidRPr="00FC4BE6" w:rsidR="00B61180" w:rsidP="00B61180" w:rsidRDefault="00B61180" w14:paraId="0613D6C8" w14:textId="77777777">
      <w:pPr>
        <w:numPr>
          <w:ilvl w:val="0"/>
          <w:numId w:val="71"/>
        </w:numPr>
        <w:jc w:val="both"/>
        <w:rPr>
          <w:rFonts w:ascii="Arial" w:hAnsi="Arial" w:cs="Arial"/>
          <w:sz w:val="24"/>
          <w:szCs w:val="24"/>
        </w:rPr>
      </w:pPr>
      <w:r w:rsidRPr="00FC4BE6">
        <w:rPr>
          <w:rFonts w:ascii="Arial" w:hAnsi="Arial" w:cs="Arial"/>
          <w:sz w:val="24"/>
          <w:szCs w:val="24"/>
        </w:rPr>
        <w:t>Observación y seguimiento comunitario del territorio: ejercicios voluntarios de observación, documentación y seguimiento de cambios visibles, presiones ambientales o situaciones que puedan afectar el ecosistema de páramo, integrando los saberes locales, el conocimiento tradicional, la experiencia comunitaria y las referencias territoriales propias de cada comunidad.  </w:t>
      </w:r>
    </w:p>
    <w:p w:rsidRPr="00FC4BE6" w:rsidR="00B61180" w:rsidP="00B61180" w:rsidRDefault="00B61180" w14:paraId="422372E6" w14:textId="77777777">
      <w:pPr>
        <w:numPr>
          <w:ilvl w:val="0"/>
          <w:numId w:val="72"/>
        </w:numPr>
        <w:jc w:val="both"/>
        <w:rPr>
          <w:rFonts w:ascii="Arial" w:hAnsi="Arial" w:cs="Arial"/>
          <w:sz w:val="24"/>
          <w:szCs w:val="24"/>
        </w:rPr>
      </w:pPr>
      <w:r w:rsidRPr="00FC4BE6">
        <w:rPr>
          <w:rFonts w:ascii="Arial" w:hAnsi="Arial" w:cs="Arial"/>
          <w:sz w:val="24"/>
          <w:szCs w:val="24"/>
        </w:rPr>
        <w:t xml:space="preserve">Recorridos comunitarios de observación territorial: recorridos voluntarios desarrollados por las comunidades en sectores priorizados del territorio con fines de observación, reconocimiento y seguimiento comunitario del estado del ecosistema. Cuando las circunstancias lo permitan y exista interés mutuo, estos recorridos podrán realizarse con el acompañamiento de las autoridades ambientales o de otras entidades competentes, como espacios de intercambio de información, fortalecimiento de la confianza institucional y </w:t>
      </w:r>
      <w:r w:rsidRPr="00FC4BE6">
        <w:rPr>
          <w:rFonts w:ascii="Arial" w:hAnsi="Arial" w:cs="Arial"/>
          <w:sz w:val="24"/>
          <w:szCs w:val="24"/>
        </w:rPr>
        <w:t>construcción conjunta de conocimiento sobre el territorio. En todo caso, dichos recorridos no autorizan el ingreso a predios sin el consentimiento de sus titulares, no constituyen actuaciones administrativas, diligencias oficiales de inspección ni generan actas con efectos jurídicos propios de la actuación administrativa.  </w:t>
      </w:r>
    </w:p>
    <w:p w:rsidRPr="00FC4BE6" w:rsidR="00B61180" w:rsidP="00B61180" w:rsidRDefault="00B61180" w14:paraId="64FBBCE4" w14:textId="77777777">
      <w:pPr>
        <w:numPr>
          <w:ilvl w:val="0"/>
          <w:numId w:val="73"/>
        </w:numPr>
        <w:jc w:val="both"/>
        <w:rPr>
          <w:rFonts w:ascii="Arial" w:hAnsi="Arial" w:cs="Arial"/>
          <w:sz w:val="24"/>
          <w:szCs w:val="24"/>
        </w:rPr>
      </w:pPr>
      <w:r w:rsidRPr="00FC4BE6">
        <w:rPr>
          <w:rFonts w:ascii="Arial" w:hAnsi="Arial" w:cs="Arial"/>
          <w:sz w:val="24"/>
          <w:szCs w:val="24"/>
        </w:rPr>
        <w:t>Herramientas comunitarias de registro: las comunidades podrán diseñar y utilizar herramientas propias, físicas, digitales o de cualquier otra naturaleza, para registrar la información que consideren relevante sobre el estado del territorio, incluyendo, entre otros aspectos, el tipo de situación observada, la fecha, la ubicación aproximada, registros fotográficos, audiovisuales o cartográficos y cualquier otra evidencia que facilite la comprensión de los hechos. Estas herramientas responden a procesos de organización comunitaria y fortalecimiento del control social, por lo que no constituyen registros administrativos oficiales, dictámenes técnicos, pruebas periciales ni documentos públicos, sin perjuicio del valor que puedan tener como información de apoyo para las actuaciones que, conforme a la ley, adelanten las autoridades competentes.  </w:t>
      </w:r>
    </w:p>
    <w:p w:rsidRPr="00FC4BE6" w:rsidR="00B61180" w:rsidP="00B61180" w:rsidRDefault="00B61180" w14:paraId="288A60C7" w14:textId="77777777">
      <w:pPr>
        <w:jc w:val="both"/>
        <w:rPr>
          <w:rFonts w:ascii="Arial" w:hAnsi="Arial" w:cs="Arial"/>
          <w:sz w:val="24"/>
          <w:szCs w:val="24"/>
        </w:rPr>
      </w:pPr>
      <w:r w:rsidRPr="00FC4BE6">
        <w:rPr>
          <w:rFonts w:ascii="Arial" w:hAnsi="Arial" w:cs="Arial"/>
          <w:sz w:val="24"/>
          <w:szCs w:val="24"/>
        </w:rPr>
        <w:t>Estos ejercicios constituyen expresiones legítimas del control social ambiental y no implican el ejercicio de funciones de inspección oficial, vigilancia administrativa, control ambiental o potestad sancionatoria, ni sustituyen las competencias de las autoridades públicas. </w:t>
      </w:r>
    </w:p>
    <w:p w:rsidRPr="00FC4BE6" w:rsidR="00B61180" w:rsidP="00B61180" w:rsidRDefault="00B61180" w14:paraId="5FAF85FC" w14:textId="77777777">
      <w:pPr>
        <w:jc w:val="both"/>
        <w:rPr>
          <w:rFonts w:ascii="Arial" w:hAnsi="Arial" w:cs="Arial"/>
          <w:sz w:val="24"/>
          <w:szCs w:val="24"/>
        </w:rPr>
      </w:pPr>
      <w:r w:rsidRPr="00FC4BE6">
        <w:rPr>
          <w:rFonts w:ascii="Arial" w:hAnsi="Arial" w:cs="Arial"/>
          <w:sz w:val="24"/>
          <w:szCs w:val="24"/>
        </w:rPr>
        <w:t>Cualquiera que sea la forma organizativa o el mecanismo de observación que las comunidades decidan implementar, su articulación con el sistema de fiscalización se desarrollará mediante los mecanismos de interacción previstos en el presente documento, particularmente aquellos relacionados con la radicación de alertas, la trazabilidad de la información, el seguimiento institucional y el ejercicio del control social. La información generada mediante estos mecanismos comunitarios no sustituye la información oficial producida por las entidades públicas, sino que la complementa y fortalece desde la perspectiva territorial y comunitaria. En este sentido, el sistema de fiscalización integra ambas fuentes de información dentro de un modelo de coordinación,</w:t>
      </w:r>
      <w:r w:rsidRPr="00FC4BE6">
        <w:rPr>
          <w:rFonts w:ascii="Arial" w:hAnsi="Arial" w:cs="Arial"/>
          <w:b/>
          <w:bCs/>
          <w:sz w:val="24"/>
          <w:szCs w:val="24"/>
        </w:rPr>
        <w:t xml:space="preserve"> </w:t>
      </w:r>
      <w:r w:rsidRPr="00FC4BE6">
        <w:rPr>
          <w:rFonts w:ascii="Arial" w:hAnsi="Arial" w:cs="Arial"/>
          <w:sz w:val="24"/>
          <w:szCs w:val="24"/>
        </w:rPr>
        <w:t>transparencia y participación, respetando la autonomía de las comunidades, la distribución legal de competencias y la naturaleza propia de cada fuente de información. </w:t>
      </w:r>
    </w:p>
    <w:p w:rsidRPr="00FC4BE6" w:rsidR="00B61180" w:rsidP="00B61180" w:rsidRDefault="00B61180" w14:paraId="6BB410A0" w14:textId="77777777">
      <w:pPr>
        <w:jc w:val="both"/>
        <w:rPr>
          <w:rFonts w:ascii="Arial" w:hAnsi="Arial" w:cs="Arial"/>
          <w:sz w:val="24"/>
          <w:szCs w:val="24"/>
        </w:rPr>
      </w:pPr>
      <w:r w:rsidRPr="00FC4BE6">
        <w:rPr>
          <w:rFonts w:ascii="Arial" w:hAnsi="Arial" w:cs="Arial"/>
          <w:sz w:val="24"/>
          <w:szCs w:val="24"/>
        </w:rPr>
        <w:t>3.1.3 Priorización territorial de riesgos y presiones  </w:t>
      </w:r>
    </w:p>
    <w:p w:rsidRPr="00FC4BE6" w:rsidR="00B61180" w:rsidP="00B61180" w:rsidRDefault="00B61180" w14:paraId="75EEC288" w14:textId="77777777">
      <w:pPr>
        <w:jc w:val="both"/>
        <w:rPr>
          <w:rFonts w:ascii="Arial" w:hAnsi="Arial" w:cs="Arial"/>
          <w:sz w:val="24"/>
          <w:szCs w:val="24"/>
        </w:rPr>
      </w:pPr>
      <w:r w:rsidRPr="00FC4BE6">
        <w:rPr>
          <w:rFonts w:ascii="Arial" w:hAnsi="Arial" w:cs="Arial"/>
          <w:sz w:val="24"/>
          <w:szCs w:val="24"/>
        </w:rPr>
        <w:t xml:space="preserve">Con fundamento en la información generada por los actores que integran el Sistema de Fiscalización, este podrá consolidar y analizar patrones territoriales asociados a riesgos, presiones o afectaciones recurrentes sobre el ecosistema de páramo, con el propósito exclusivo de fortalecer la coordinación institucional, orientar el </w:t>
      </w:r>
      <w:r w:rsidRPr="00FC4BE6">
        <w:rPr>
          <w:rFonts w:ascii="Arial" w:hAnsi="Arial" w:cs="Arial"/>
          <w:sz w:val="24"/>
          <w:szCs w:val="24"/>
        </w:rPr>
        <w:t>seguimiento de las alertas y facilitar la implementación de medidas preventivas dentro del ámbito de competencia de las autoridades correspondientes.  </w:t>
      </w:r>
    </w:p>
    <w:p w:rsidRPr="00FC4BE6" w:rsidR="00B61180" w:rsidP="00B61180" w:rsidRDefault="00B61180" w14:paraId="63A9D7B6" w14:textId="77777777">
      <w:pPr>
        <w:jc w:val="both"/>
        <w:rPr>
          <w:rFonts w:ascii="Arial" w:hAnsi="Arial" w:cs="Arial"/>
          <w:sz w:val="24"/>
          <w:szCs w:val="24"/>
        </w:rPr>
      </w:pPr>
      <w:r w:rsidRPr="00FC4BE6">
        <w:rPr>
          <w:rFonts w:ascii="Arial" w:hAnsi="Arial" w:cs="Arial"/>
          <w:sz w:val="24"/>
          <w:szCs w:val="24"/>
        </w:rPr>
        <w:t>Dicha priorización se construye a partir de la información oficialmente producida por las autoridades públicas, de la información aportada por las comunidades en ejercicio del control social ambiental y de los demás insumos técnicos, científicos y territoriales disponibles para el Sistema. En consecuencia, el Sistema no genera información nueva ni realiza valoraciones técnicas independientes, sino que integra y hace trazable la información producida por los diferentes actores para facilitar una comprensión territorial de las dinámicas que afectan el páramo.  </w:t>
      </w:r>
    </w:p>
    <w:p w:rsidRPr="00FC4BE6" w:rsidR="00B61180" w:rsidP="00B61180" w:rsidRDefault="00B61180" w14:paraId="05C54826" w14:textId="77777777">
      <w:pPr>
        <w:jc w:val="both"/>
        <w:rPr>
          <w:rFonts w:ascii="Arial" w:hAnsi="Arial" w:cs="Arial"/>
          <w:sz w:val="24"/>
          <w:szCs w:val="24"/>
        </w:rPr>
      </w:pPr>
      <w:r w:rsidRPr="00FC4BE6">
        <w:rPr>
          <w:rFonts w:ascii="Arial" w:hAnsi="Arial" w:cs="Arial"/>
          <w:sz w:val="24"/>
          <w:szCs w:val="24"/>
        </w:rPr>
        <w:t>Los patrones podrán identificarse, entre otros criterios, por tipología de la situación reportada, recurrencia, distribución territorial o concentración espacial de determinadas presiones sobre el ecosistema, tales como la minería, los incendios de cobertura vegetal, los vertimientos, la ampliación de la frontera agropecuaria u otras situaciones que, conforme a la información disponible, requieran una mayor articulación institucional.  </w:t>
      </w:r>
    </w:p>
    <w:p w:rsidRPr="00FC4BE6" w:rsidR="00B61180" w:rsidP="00B61180" w:rsidRDefault="00B61180" w14:paraId="7C6D83E9" w14:textId="77777777">
      <w:pPr>
        <w:jc w:val="both"/>
        <w:rPr>
          <w:rFonts w:ascii="Arial" w:hAnsi="Arial" w:cs="Arial"/>
          <w:sz w:val="24"/>
          <w:szCs w:val="24"/>
        </w:rPr>
      </w:pPr>
      <w:r w:rsidRPr="00FC4BE6">
        <w:rPr>
          <w:rFonts w:ascii="Arial" w:hAnsi="Arial" w:cs="Arial"/>
          <w:sz w:val="24"/>
          <w:szCs w:val="24"/>
        </w:rPr>
        <w:t>La priorización territorial desarrollada por el sistema constituye únicamente una herramienta de gestión, seguimiento y coordinación institucional, orientada a facilitar la verificación del cumplimiento de las decisiones adoptadas, la focalización de acciones de articulación entre las entidades competentes y el fortalecimiento del control social por parte de las comunidades.  </w:t>
      </w:r>
    </w:p>
    <w:p w:rsidRPr="00FC4BE6" w:rsidR="00B61180" w:rsidP="00B61180" w:rsidRDefault="00B61180" w14:paraId="106A84FF" w14:textId="77777777">
      <w:pPr>
        <w:jc w:val="both"/>
        <w:rPr>
          <w:rFonts w:ascii="Arial" w:hAnsi="Arial" w:cs="Arial"/>
          <w:sz w:val="24"/>
          <w:szCs w:val="24"/>
        </w:rPr>
      </w:pPr>
      <w:r w:rsidRPr="00FC4BE6">
        <w:rPr>
          <w:rFonts w:ascii="Arial" w:hAnsi="Arial" w:cs="Arial"/>
          <w:sz w:val="24"/>
          <w:szCs w:val="24"/>
        </w:rPr>
        <w:t>En ningún caso esta priorización constituye una zonificación oficial, una categorización jurídica del territorio, una valoración técnica con efectos administrativos, una calificación predial, una determinación sobre la propiedad, la tenencia o los derechos sobre la tierra, ni sustituye los instrumentos de planificación ambiental, ordenamiento territorial, gestión del riesgo, información catastral o administración de tierras establecidos en el ordenamiento jurídico.  </w:t>
      </w:r>
    </w:p>
    <w:p w:rsidRPr="00FC4BE6" w:rsidR="00B61180" w:rsidP="00B61180" w:rsidRDefault="00B61180" w14:paraId="617CEE25" w14:textId="77777777">
      <w:pPr>
        <w:jc w:val="both"/>
        <w:rPr>
          <w:rFonts w:ascii="Arial" w:hAnsi="Arial" w:cs="Arial"/>
          <w:sz w:val="24"/>
          <w:szCs w:val="24"/>
        </w:rPr>
      </w:pPr>
      <w:r w:rsidRPr="00FC4BE6">
        <w:rPr>
          <w:rFonts w:ascii="Arial" w:hAnsi="Arial" w:cs="Arial"/>
          <w:sz w:val="24"/>
          <w:szCs w:val="24"/>
        </w:rPr>
        <w:t>Así mismo, la información consolidada por el sistema no modifica ni reemplaza las competencias atribuidas a las autoridades ambientales, a las entidades territoriales, al Instituto Geográfico Agustín Codazzi (IGAC), a la Agencia Nacional de Tierras (ANT) o a las demás entidades competentes. Su finalidad consiste exclusivamente en fortalecer la articulación institucional, la transparencia, la trazabilidad de la información y el ejercicio del control social ambiental dentro de la fase de fiscalización prevista por la Sentencia T-361 de 2017. </w:t>
      </w:r>
    </w:p>
    <w:p w:rsidRPr="00FC4BE6" w:rsidR="00B61180" w:rsidP="00B61180" w:rsidRDefault="00B61180" w14:paraId="10C8F489" w14:textId="77777777">
      <w:pPr>
        <w:jc w:val="both"/>
        <w:rPr>
          <w:rFonts w:ascii="Arial" w:hAnsi="Arial" w:cs="Arial"/>
          <w:sz w:val="24"/>
          <w:szCs w:val="24"/>
        </w:rPr>
      </w:pPr>
      <w:r w:rsidRPr="00FC4BE6">
        <w:rPr>
          <w:rFonts w:ascii="Arial" w:hAnsi="Arial" w:cs="Arial"/>
          <w:sz w:val="24"/>
          <w:szCs w:val="24"/>
        </w:rPr>
        <w:t>3.1.4 Traslado entre entidades  </w:t>
      </w:r>
    </w:p>
    <w:p w:rsidRPr="00FC4BE6" w:rsidR="00B61180" w:rsidP="00B61180" w:rsidRDefault="00B61180" w14:paraId="0859DF40" w14:textId="77777777">
      <w:pPr>
        <w:jc w:val="both"/>
        <w:rPr>
          <w:rFonts w:ascii="Arial" w:hAnsi="Arial" w:cs="Arial"/>
          <w:sz w:val="24"/>
          <w:szCs w:val="24"/>
        </w:rPr>
      </w:pPr>
      <w:r w:rsidRPr="00FC4BE6">
        <w:rPr>
          <w:rFonts w:ascii="Arial" w:hAnsi="Arial" w:cs="Arial"/>
          <w:sz w:val="24"/>
          <w:szCs w:val="24"/>
        </w:rPr>
        <w:t xml:space="preserve">Cuando la entidad que reciba una alerta establezca que el conocimiento o la atención de la situación reportada corresponde, total o parcialmente, a la competencia de otra autoridad pública, deberá efectuar el traslado conforme a las reglas generales </w:t>
      </w:r>
      <w:r w:rsidRPr="00FC4BE6">
        <w:rPr>
          <w:rFonts w:ascii="Arial" w:hAnsi="Arial" w:cs="Arial"/>
          <w:sz w:val="24"/>
          <w:szCs w:val="24"/>
        </w:rPr>
        <w:t>que regulan la actuación administrativa y el derecho de petición ante autoridades, respetando los procedimientos y términos previstos en el ordenamiento jurídico.  </w:t>
      </w:r>
    </w:p>
    <w:p w:rsidRPr="00FC4BE6" w:rsidR="00B61180" w:rsidP="00B61180" w:rsidRDefault="00B61180" w14:paraId="7AD6458E" w14:textId="77777777">
      <w:pPr>
        <w:jc w:val="both"/>
        <w:rPr>
          <w:rFonts w:ascii="Arial" w:hAnsi="Arial" w:cs="Arial"/>
          <w:sz w:val="24"/>
          <w:szCs w:val="24"/>
        </w:rPr>
      </w:pPr>
      <w:r w:rsidRPr="00FC4BE6">
        <w:rPr>
          <w:rFonts w:ascii="Arial" w:hAnsi="Arial" w:cs="Arial"/>
          <w:sz w:val="24"/>
          <w:szCs w:val="24"/>
        </w:rPr>
        <w:t>En consecuencia, el sistema de fiscalización no realiza traslados, no determina la competencia entre entidades ni establece procedimientos o plazos distintos de los previstos en la ley. Su función consiste exclusivamente en registrar la existencia del traslado, hacer trazable la actuación administrativa y consolidar la información necesaria para el seguimiento institucional y el ejercicio del control social. La entidad que efectúe el traslado informará de dicha actuación a la persona que presentó la alerta, en los términos previstos por la legislación vigente, indicando, cuando ello resulte procedente, la autoridad a la cual fue remitida la actuación para su conocimiento y trámite.  </w:t>
      </w:r>
    </w:p>
    <w:p w:rsidRPr="00FC4BE6" w:rsidR="00B61180" w:rsidP="00B61180" w:rsidRDefault="00B61180" w14:paraId="09375858" w14:textId="77777777">
      <w:pPr>
        <w:jc w:val="both"/>
        <w:rPr>
          <w:rFonts w:ascii="Arial" w:hAnsi="Arial" w:cs="Arial"/>
          <w:sz w:val="24"/>
          <w:szCs w:val="24"/>
        </w:rPr>
      </w:pPr>
      <w:r w:rsidRPr="00FC4BE6">
        <w:rPr>
          <w:rFonts w:ascii="Arial" w:hAnsi="Arial" w:cs="Arial"/>
          <w:sz w:val="24"/>
          <w:szCs w:val="24"/>
        </w:rPr>
        <w:t>La información derivada del traslado alimentará el sistema de fiscalización únicamente para efectos de seguimiento, trazabilidad y consolidación de reportes, utilizando la información oficialmente producida por las entidades competentes, sin generar registros administrativos paralelos ni modificar los procedimientos propios de cada institución.  </w:t>
      </w:r>
    </w:p>
    <w:p w:rsidRPr="00FC4BE6" w:rsidR="00B61180" w:rsidP="00B61180" w:rsidRDefault="00B61180" w14:paraId="2B44CFE8" w14:textId="77777777">
      <w:pPr>
        <w:jc w:val="both"/>
        <w:rPr>
          <w:rFonts w:ascii="Arial" w:hAnsi="Arial" w:cs="Arial"/>
          <w:sz w:val="24"/>
          <w:szCs w:val="24"/>
        </w:rPr>
      </w:pPr>
      <w:r w:rsidRPr="00FC4BE6">
        <w:rPr>
          <w:rFonts w:ascii="Arial" w:hAnsi="Arial" w:cs="Arial"/>
          <w:sz w:val="24"/>
          <w:szCs w:val="24"/>
        </w:rPr>
        <w:t>Cuando, en desarrollo del trámite de una alerta, se identifiquen situaciones relacionadas con la concurrencia de competencias o con conflictos de jurisdicción entre autoridades ambientales que no puedan resolverse mediante los mecanismos ordinarios de coordinación entre las entidades involucradas, dichas circunstancias podrán ponerse en conocimiento de la Comisión Conjunta, en los términos previstos por el marco jurídico aplicable y por los instrumentos que regulan su funcionamiento, con el fin de facilitar la coordinación institucional entre las autoridades ambientales competentes.  </w:t>
      </w:r>
    </w:p>
    <w:p w:rsidRPr="00FC4BE6" w:rsidR="00B61180" w:rsidP="00B61180" w:rsidRDefault="00B61180" w14:paraId="09E8CA01" w14:textId="77777777">
      <w:pPr>
        <w:jc w:val="both"/>
        <w:rPr>
          <w:rFonts w:ascii="Arial" w:hAnsi="Arial" w:cs="Arial"/>
          <w:sz w:val="24"/>
          <w:szCs w:val="24"/>
        </w:rPr>
      </w:pPr>
      <w:r w:rsidRPr="00FC4BE6">
        <w:rPr>
          <w:rFonts w:ascii="Arial" w:hAnsi="Arial" w:cs="Arial"/>
          <w:sz w:val="24"/>
          <w:szCs w:val="24"/>
        </w:rPr>
        <w:t>La intervención de la Comisión Conjunta no sustituye las competencias individuales de las autoridades ambientales ni modifica los procedimientos administrativos correspondientes. Su participación se orienta a fortalecer la coordinación interinstitucional y a facilitar la gestión de asuntos que, por su naturaleza, requieren actuaciones concertadas entre varias autoridades con jurisdicción sobre el complejo de páramos Santurbán Berlín. </w:t>
      </w:r>
    </w:p>
    <w:p w:rsidRPr="00FC4BE6" w:rsidR="00B61180" w:rsidP="00B61180" w:rsidRDefault="00B61180" w14:paraId="429A5038" w14:textId="77777777">
      <w:pPr>
        <w:jc w:val="both"/>
        <w:rPr>
          <w:rFonts w:ascii="Arial" w:hAnsi="Arial" w:cs="Arial"/>
          <w:sz w:val="24"/>
          <w:szCs w:val="24"/>
        </w:rPr>
      </w:pPr>
      <w:r w:rsidRPr="00FC4BE6">
        <w:rPr>
          <w:rFonts w:ascii="Arial" w:hAnsi="Arial" w:cs="Arial"/>
          <w:sz w:val="24"/>
          <w:szCs w:val="24"/>
        </w:rPr>
        <w:t>3.1.5 Atención de la alerta y transparencia sobre la inactividad  </w:t>
      </w:r>
    </w:p>
    <w:p w:rsidRPr="00FC4BE6" w:rsidR="00B61180" w:rsidP="00B61180" w:rsidRDefault="00B61180" w14:paraId="3504559A" w14:textId="77777777">
      <w:pPr>
        <w:jc w:val="both"/>
        <w:rPr>
          <w:rFonts w:ascii="Arial" w:hAnsi="Arial" w:cs="Arial"/>
          <w:sz w:val="24"/>
          <w:szCs w:val="24"/>
        </w:rPr>
      </w:pPr>
      <w:r w:rsidRPr="00FC4BE6">
        <w:rPr>
          <w:rFonts w:ascii="Arial" w:hAnsi="Arial" w:cs="Arial"/>
          <w:sz w:val="24"/>
          <w:szCs w:val="24"/>
        </w:rPr>
        <w:t xml:space="preserve">Una vez la alerta sea recibida por la autoridad competente, su atención se desarrollará conforme a los procedimientos, competencias y términos previstos en el ordenamiento jurídico aplicable. Cuando la comunicación corresponda al ejercicio del derecho de petición, se tramitará conforme a las reglas generales que lo regulan; cuando los hechos reportados puedan dar lugar al ejercicio de potestades administrativas especiales, a la iniciación de un procedimiento sancionatorio </w:t>
      </w:r>
      <w:r w:rsidRPr="00FC4BE6">
        <w:rPr>
          <w:rFonts w:ascii="Arial" w:hAnsi="Arial" w:cs="Arial"/>
          <w:sz w:val="24"/>
          <w:szCs w:val="24"/>
        </w:rPr>
        <w:t>ambiental o a la puesta en conocimiento de autoridades judiciales o administrativas competentes, la actuación se sujetará al régimen jurídico correspondiente.  </w:t>
      </w:r>
    </w:p>
    <w:p w:rsidRPr="00FC4BE6" w:rsidR="00B61180" w:rsidP="00B61180" w:rsidRDefault="00B61180" w14:paraId="0254C5F2" w14:textId="77777777">
      <w:pPr>
        <w:jc w:val="both"/>
        <w:rPr>
          <w:rFonts w:ascii="Arial" w:hAnsi="Arial" w:cs="Arial"/>
          <w:sz w:val="24"/>
          <w:szCs w:val="24"/>
        </w:rPr>
      </w:pPr>
      <w:r w:rsidRPr="00FC4BE6">
        <w:rPr>
          <w:rFonts w:ascii="Arial" w:hAnsi="Arial" w:cs="Arial"/>
          <w:sz w:val="24"/>
          <w:szCs w:val="24"/>
        </w:rPr>
        <w:t>El sistema de fiscalización no interviene en la evaluación de los hechos, no adopta decisiones sobre el trámite que deba adelantarse ni verifica el contenido material de las actuaciones administrativas. Su función consiste en registrar y hacer trazable la información oficialmente generada por las entidades competentes respecto del estado de atención de las alertas, con el propósito de fortalecer la transparencia institucional y el ejercicio del control social.  </w:t>
      </w:r>
    </w:p>
    <w:p w:rsidRPr="00FC4BE6" w:rsidR="00B61180" w:rsidP="00B61180" w:rsidRDefault="00B61180" w14:paraId="093A95F5" w14:textId="77777777">
      <w:pPr>
        <w:jc w:val="both"/>
        <w:rPr>
          <w:rFonts w:ascii="Arial" w:hAnsi="Arial" w:cs="Arial"/>
          <w:sz w:val="24"/>
          <w:szCs w:val="24"/>
        </w:rPr>
      </w:pPr>
      <w:r w:rsidRPr="00FC4BE6">
        <w:rPr>
          <w:rFonts w:ascii="Arial" w:hAnsi="Arial" w:cs="Arial"/>
          <w:sz w:val="24"/>
          <w:szCs w:val="24"/>
        </w:rPr>
        <w:t>Cuando, con base en la información oficialmente disponible para el sistema, no se registre actuación o respuesta dentro del término legal aplicable, dicha situación podrá reflejarse en los reportes periódicos del Sistema como un caso respecto del cual no se evidencia información sobre actuaciones registradas dentro del término correspondiente, con el único propósito de facilitar el seguimiento institucional, la rendición de cuentas y el control social.  </w:t>
      </w:r>
    </w:p>
    <w:p w:rsidRPr="00FC4BE6" w:rsidR="00B61180" w:rsidP="00B61180" w:rsidRDefault="00B61180" w14:paraId="27977E99" w14:textId="77777777">
      <w:pPr>
        <w:jc w:val="both"/>
        <w:rPr>
          <w:rFonts w:ascii="Arial" w:hAnsi="Arial" w:cs="Arial"/>
          <w:sz w:val="24"/>
          <w:szCs w:val="24"/>
        </w:rPr>
      </w:pPr>
      <w:r w:rsidRPr="00FC4BE6">
        <w:rPr>
          <w:rFonts w:ascii="Arial" w:hAnsi="Arial" w:cs="Arial"/>
          <w:sz w:val="24"/>
          <w:szCs w:val="24"/>
        </w:rPr>
        <w:t>La incorporación de esta información en los reportes del sistema no constituye un pronunciamiento sobre la legalidad de la actuación administrativa, no implica la declaratoria de incumplimiento de obligaciones legales, no genera consecuencias disciplinarias ni sustituye las competencias de las autoridades encargadas del control administrativo o disciplinario.  </w:t>
      </w:r>
    </w:p>
    <w:p w:rsidRPr="00FC4BE6" w:rsidR="00B61180" w:rsidP="00B61180" w:rsidRDefault="00B61180" w14:paraId="79E06C97" w14:textId="77777777">
      <w:pPr>
        <w:jc w:val="both"/>
        <w:rPr>
          <w:rFonts w:ascii="Arial" w:hAnsi="Arial" w:cs="Arial"/>
          <w:sz w:val="24"/>
          <w:szCs w:val="24"/>
        </w:rPr>
      </w:pPr>
      <w:r w:rsidRPr="00FC4BE6">
        <w:rPr>
          <w:rFonts w:ascii="Arial" w:hAnsi="Arial" w:cs="Arial"/>
          <w:sz w:val="24"/>
          <w:szCs w:val="24"/>
        </w:rPr>
        <w:t>Corresponderá a cada entidad competente establecer, conforme a los procedimientos previstos en la ley, las razones que expliquen la situación registrada y las actuaciones que resulten procedentes. En desarrollo de sus funciones constitucionales y legales, la Procuraduría General de la Nación, las personerías municipales y los demás organismos de control podrán acceder a la información consolidada por el Sistema de Fiscalización para el ejercicio de las competencias que les son propias, particularmente en materia de vigilancia preventiva, control disciplinario, seguimiento institucional y protección del orden jurídico.  </w:t>
      </w:r>
    </w:p>
    <w:p w:rsidRPr="00FC4BE6" w:rsidR="00B61180" w:rsidP="00B61180" w:rsidRDefault="00B61180" w14:paraId="31B2D694" w14:textId="77777777">
      <w:pPr>
        <w:jc w:val="both"/>
        <w:rPr>
          <w:rFonts w:ascii="Arial" w:hAnsi="Arial" w:cs="Arial"/>
          <w:sz w:val="24"/>
          <w:szCs w:val="24"/>
        </w:rPr>
      </w:pPr>
      <w:r w:rsidRPr="00FC4BE6">
        <w:rPr>
          <w:rFonts w:ascii="Arial" w:hAnsi="Arial" w:cs="Arial"/>
          <w:sz w:val="24"/>
          <w:szCs w:val="24"/>
        </w:rPr>
        <w:t>El sistema de fiscalización no genera reportes disciplinarios automáticos, no remite de oficio cada caso individual a los órganos de control ni inicia actuaciones administrativas o disciplinarias. Su aporte consiste en consolidar información verificable, hacerla trazable y ponerla a disposición de las entidades competentes y de la ciudadanía, fortaleciendo la transparencia de la gestión pública y el ejercicio del control social previsto en la Sentencia T-361 de 2017. </w:t>
      </w:r>
    </w:p>
    <w:p w:rsidRPr="00FC4BE6" w:rsidR="00B61180" w:rsidP="00B61180" w:rsidRDefault="00B61180" w14:paraId="34DEB56C" w14:textId="77777777">
      <w:pPr>
        <w:jc w:val="both"/>
        <w:rPr>
          <w:rFonts w:ascii="Arial" w:hAnsi="Arial" w:cs="Arial"/>
          <w:sz w:val="24"/>
          <w:szCs w:val="24"/>
        </w:rPr>
      </w:pPr>
      <w:r w:rsidRPr="00FC4BE6">
        <w:rPr>
          <w:rFonts w:ascii="Arial" w:hAnsi="Arial" w:cs="Arial"/>
          <w:sz w:val="24"/>
          <w:szCs w:val="24"/>
        </w:rPr>
        <w:t>3.1.6 Protección de quien reporta  </w:t>
      </w:r>
    </w:p>
    <w:p w:rsidRPr="00FC4BE6" w:rsidR="00B61180" w:rsidP="00B61180" w:rsidRDefault="00B61180" w14:paraId="5EE2B8EA" w14:textId="77777777">
      <w:pPr>
        <w:jc w:val="both"/>
        <w:rPr>
          <w:rFonts w:ascii="Arial" w:hAnsi="Arial" w:cs="Arial"/>
          <w:sz w:val="24"/>
          <w:szCs w:val="24"/>
        </w:rPr>
      </w:pPr>
      <w:r w:rsidRPr="00FC4BE6">
        <w:rPr>
          <w:rFonts w:ascii="Arial" w:hAnsi="Arial" w:cs="Arial"/>
          <w:sz w:val="24"/>
          <w:szCs w:val="24"/>
        </w:rPr>
        <w:t xml:space="preserve">El sistema de fiscalización reconoce la importancia de garantizar un entorno seguro para las personas que, en ejercicio de los derechos de acceso a la información, participación pública y acceso a la justicia en asuntos ambientales, reportan </w:t>
      </w:r>
      <w:r w:rsidRPr="00FC4BE6">
        <w:rPr>
          <w:rFonts w:ascii="Arial" w:hAnsi="Arial" w:cs="Arial"/>
          <w:sz w:val="24"/>
          <w:szCs w:val="24"/>
        </w:rPr>
        <w:t>situaciones que puedan afectar el ecosistema de páramo o desarrollan actividades de seguimiento, observación comunitaria y control social ambiental, de conformidad con los principios previstos en el Acuerdo de Escazú, aprobado mediante la Ley 2273 de 2022.  </w:t>
      </w:r>
    </w:p>
    <w:p w:rsidRPr="00FC4BE6" w:rsidR="00B61180" w:rsidP="00B61180" w:rsidRDefault="00B61180" w14:paraId="3ADCCA31" w14:textId="77777777">
      <w:pPr>
        <w:jc w:val="both"/>
        <w:rPr>
          <w:rFonts w:ascii="Arial" w:hAnsi="Arial" w:cs="Arial"/>
          <w:sz w:val="24"/>
          <w:szCs w:val="24"/>
        </w:rPr>
      </w:pPr>
      <w:r w:rsidRPr="00FC4BE6">
        <w:rPr>
          <w:rFonts w:ascii="Arial" w:hAnsi="Arial" w:cs="Arial"/>
          <w:sz w:val="24"/>
          <w:szCs w:val="24"/>
        </w:rPr>
        <w:t>Cuando la entidad competente que reciba la alerta o el punto de contacto territorial que haya facilitado su radicación tenga conocimiento de hechos que puedan evidenciar amenazas, intimidaciones, hostigamientos o situaciones de riesgo contra la persona que o contra quienes participen en actividades de control social, observación territorial o veeduría ambiental relacionadas con la alerta, dejará constancia de dicha información dentro del registro administrativo correspondiente, en la medida en que ello resulte pertinente para la actuación, y la pondrá en conocimiento de las autoridades competentes para su valoración y atención, respetando en todo momento el principio de confidencialidad y la protección de los datos personales.  </w:t>
      </w:r>
    </w:p>
    <w:p w:rsidRPr="00FC4BE6" w:rsidR="00B61180" w:rsidP="00B61180" w:rsidRDefault="00B61180" w14:paraId="434583D4" w14:textId="77777777">
      <w:pPr>
        <w:jc w:val="both"/>
        <w:rPr>
          <w:rFonts w:ascii="Arial" w:hAnsi="Arial" w:cs="Arial"/>
          <w:sz w:val="24"/>
          <w:szCs w:val="24"/>
        </w:rPr>
      </w:pPr>
      <w:r w:rsidRPr="00FC4BE6">
        <w:rPr>
          <w:rFonts w:ascii="Arial" w:hAnsi="Arial" w:cs="Arial"/>
          <w:sz w:val="24"/>
          <w:szCs w:val="24"/>
        </w:rPr>
        <w:t>Según la naturaleza de la situación reportada, la información podrá ser puesta en conocimiento de la Defensoría del Pueblo, de la Personería Municipal o de la Unidad Nacional de Protección (UNP), cuando, conforme al marco jurídico vigente y a sus competencias, resulte procedente la activación de los mecanismos institucionales de prevención, evaluación o protección. Cuando las circunstancias del caso lo aconsejen, la remisión de la información deberá realizarse adoptando las medidas necesarias para proteger la identidad de la persona que reporta, de conformidad con la normativa sobre protección de datos personales, el principio de confidencialidad y las garantías previstas para las personas defensoras de los derechos humanos en asuntos ambientales. </w:t>
      </w:r>
    </w:p>
    <w:p w:rsidRPr="00FC4BE6" w:rsidR="00B61180" w:rsidP="00B61180" w:rsidRDefault="00B61180" w14:paraId="5CDF4789" w14:textId="77777777">
      <w:pPr>
        <w:jc w:val="both"/>
        <w:rPr>
          <w:rFonts w:ascii="Arial" w:hAnsi="Arial" w:cs="Arial"/>
          <w:sz w:val="24"/>
          <w:szCs w:val="24"/>
        </w:rPr>
      </w:pPr>
      <w:r w:rsidRPr="00FC4BE6">
        <w:rPr>
          <w:rFonts w:ascii="Arial" w:hAnsi="Arial" w:cs="Arial"/>
          <w:sz w:val="24"/>
          <w:szCs w:val="24"/>
        </w:rPr>
        <w:t>La actuación prevista en este numeral no implica que la entidad receptora de la alerta, el punto de contacto territorial o el sistema de fiscalización asuman funciones de valoración del nivel de riesgo, adopción de medidas de protección o implementación de esquemas de seguridad, competencias que corresponden exclusivamente a las autoridades legalmente facultadas para ello. Su obligación se limita a facilitar la activación de los mecanismos institucionales existentes, promover la coordinación entre las entidades competentes y garantizar la adecuada trazabilidad de la información relacionada con la situación de riesgo.  </w:t>
      </w:r>
    </w:p>
    <w:p w:rsidRPr="00FC4BE6" w:rsidR="00B61180" w:rsidP="00B61180" w:rsidRDefault="00B61180" w14:paraId="7CC845B5" w14:textId="77777777">
      <w:pPr>
        <w:jc w:val="both"/>
        <w:rPr>
          <w:rFonts w:ascii="Arial" w:hAnsi="Arial" w:cs="Arial"/>
          <w:sz w:val="24"/>
          <w:szCs w:val="24"/>
        </w:rPr>
      </w:pPr>
      <w:r w:rsidRPr="00FC4BE6">
        <w:rPr>
          <w:rFonts w:ascii="Arial" w:hAnsi="Arial" w:cs="Arial"/>
          <w:sz w:val="24"/>
          <w:szCs w:val="24"/>
        </w:rPr>
        <w:t>El Sistema de Fiscalización no crea mecanismos propios de protección, sino que fortalece la articulación con las rutas institucionales existentes para la protección de las personas defensoras del ambiente y de quienes participan en los procesos de implementación de la resolución de delimitación,</w:t>
      </w:r>
      <w:r w:rsidRPr="00FC4BE6">
        <w:rPr>
          <w:rFonts w:ascii="Arial" w:hAnsi="Arial" w:cs="Arial"/>
          <w:b/>
          <w:bCs/>
          <w:sz w:val="24"/>
          <w:szCs w:val="24"/>
        </w:rPr>
        <w:t xml:space="preserve"> </w:t>
      </w:r>
      <w:r w:rsidRPr="00FC4BE6">
        <w:rPr>
          <w:rFonts w:ascii="Arial" w:hAnsi="Arial" w:cs="Arial"/>
          <w:sz w:val="24"/>
          <w:szCs w:val="24"/>
        </w:rPr>
        <w:t>contribuyendo a la aplicación de los principios de prevención, participación, acceso a la información y protección consagrados en el Acuerdo de Escazú y en el ordenamiento jurídico colombiano.  </w:t>
      </w:r>
    </w:p>
    <w:p w:rsidRPr="00FC4BE6" w:rsidR="00B61180" w:rsidP="00B61180" w:rsidRDefault="00B61180" w14:paraId="2A272305" w14:textId="77777777">
      <w:pPr>
        <w:jc w:val="both"/>
        <w:rPr>
          <w:rFonts w:ascii="Arial" w:hAnsi="Arial" w:cs="Arial"/>
          <w:sz w:val="24"/>
          <w:szCs w:val="24"/>
        </w:rPr>
      </w:pPr>
      <w:r w:rsidRPr="00FC4BE6">
        <w:rPr>
          <w:rFonts w:ascii="Arial" w:hAnsi="Arial" w:cs="Arial"/>
          <w:sz w:val="24"/>
          <w:szCs w:val="24"/>
        </w:rPr>
        <w:t> </w:t>
      </w:r>
    </w:p>
    <w:p w:rsidRPr="00FC4BE6" w:rsidR="00B61180" w:rsidP="00B61180" w:rsidRDefault="00B61180" w14:paraId="3A7750CE" w14:textId="77777777">
      <w:pPr>
        <w:jc w:val="both"/>
        <w:rPr>
          <w:rFonts w:ascii="Arial" w:hAnsi="Arial" w:cs="Arial"/>
          <w:sz w:val="24"/>
          <w:szCs w:val="24"/>
        </w:rPr>
      </w:pPr>
      <w:r w:rsidRPr="00FC4BE6">
        <w:rPr>
          <w:rFonts w:ascii="Arial" w:hAnsi="Arial" w:cs="Arial"/>
          <w:sz w:val="24"/>
          <w:szCs w:val="24"/>
        </w:rPr>
        <w:t>3.2 Eje 2. Instrumentos de la fiscalización </w:t>
      </w:r>
    </w:p>
    <w:p w:rsidRPr="00FC4BE6" w:rsidR="00B61180" w:rsidP="00B61180" w:rsidRDefault="00B61180" w14:paraId="0E63CE73" w14:textId="77777777">
      <w:pPr>
        <w:jc w:val="both"/>
        <w:rPr>
          <w:rFonts w:ascii="Arial" w:hAnsi="Arial" w:cs="Arial"/>
          <w:sz w:val="24"/>
          <w:szCs w:val="24"/>
        </w:rPr>
      </w:pPr>
      <w:r w:rsidRPr="00FC4BE6">
        <w:rPr>
          <w:rFonts w:ascii="Arial" w:hAnsi="Arial" w:cs="Arial"/>
          <w:sz w:val="24"/>
          <w:szCs w:val="24"/>
        </w:rPr>
        <w:t>Este eje desarrolla los mecanismos mediante los cuales el sistema de fiscalización fortalece la participación permanente de las comunidades y de los demás actores involucrados en la implementación de la resolución de delimitación, consolidando la fiscalización como un proceso continuo de deliberación, seguimiento, transparencia y control social, en armonía con la Sentencia T-361 de 2017.  </w:t>
      </w:r>
    </w:p>
    <w:p w:rsidRPr="00FC4BE6" w:rsidR="00B61180" w:rsidP="00B61180" w:rsidRDefault="00B61180" w14:paraId="25F3BC90" w14:textId="77777777">
      <w:pPr>
        <w:jc w:val="both"/>
        <w:rPr>
          <w:rFonts w:ascii="Arial" w:hAnsi="Arial" w:cs="Arial"/>
          <w:sz w:val="24"/>
          <w:szCs w:val="24"/>
        </w:rPr>
      </w:pPr>
      <w:r w:rsidRPr="00FC4BE6">
        <w:rPr>
          <w:rFonts w:ascii="Arial" w:hAnsi="Arial" w:cs="Arial"/>
          <w:sz w:val="24"/>
          <w:szCs w:val="24"/>
        </w:rPr>
        <w:t>Su propósito es promover escenarios de diálogo, intercambio de información, construcción conjunta y seguimiento corresponsable que permitan verificar el cumplimiento de las decisiones adoptadas, facilitar la identificación temprana de dificultades en la implementación de la resolución de delimitación y fortalecer la articulación entre las comunidades, las autoridades públicas y las demás instituciones que integran el sistema de fiscalización.  </w:t>
      </w:r>
    </w:p>
    <w:p w:rsidRPr="00FC4BE6" w:rsidR="00B61180" w:rsidP="00B61180" w:rsidRDefault="00B61180" w14:paraId="1295AF4A" w14:textId="77777777">
      <w:pPr>
        <w:jc w:val="both"/>
        <w:rPr>
          <w:rFonts w:ascii="Arial" w:hAnsi="Arial" w:cs="Arial"/>
          <w:sz w:val="24"/>
          <w:szCs w:val="24"/>
        </w:rPr>
      </w:pPr>
      <w:r w:rsidRPr="00FC4BE6">
        <w:rPr>
          <w:rFonts w:ascii="Arial" w:hAnsi="Arial" w:cs="Arial"/>
          <w:sz w:val="24"/>
          <w:szCs w:val="24"/>
        </w:rPr>
        <w:t>En desarrollo de este eje, la participación ciudadana se entiende como un proceso permanente que trasciende la etapa de concertación de la delimitación, permitiendo que las comunidades continúen acompañando la implementación de la resolución, formulando observaciones, realizando seguimiento a los compromisos asumidos por las instituciones, ejerciendo control social y participando en los espacios de deliberación previstos dentro del modelo de gobernanza construido para el páramo Santurbán Berlín.  </w:t>
      </w:r>
    </w:p>
    <w:p w:rsidRPr="00FC4BE6" w:rsidR="00B61180" w:rsidP="00B61180" w:rsidRDefault="00B61180" w14:paraId="13726E98" w14:textId="77777777">
      <w:pPr>
        <w:jc w:val="both"/>
        <w:rPr>
          <w:rFonts w:ascii="Arial" w:hAnsi="Arial" w:cs="Arial"/>
          <w:sz w:val="24"/>
          <w:szCs w:val="24"/>
        </w:rPr>
      </w:pPr>
      <w:r w:rsidRPr="00FC4BE6">
        <w:rPr>
          <w:rFonts w:ascii="Arial" w:hAnsi="Arial" w:cs="Arial"/>
          <w:sz w:val="24"/>
          <w:szCs w:val="24"/>
        </w:rPr>
        <w:t>La información que soporta este proceso proviene de los actores que integran el sistema de fiscalización, quienes, en ejercicio de sus competencias, funciones o formas propias de organización, generan los insumos necesarios para el seguimiento de la implementación de la resolución. En consecuencia, el sistema no produce información nueva ni realiza evaluaciones independientes, sino que consolida, organiza, articula y hace trazable la información disponible, facilitando que los diferentes actores puedan ejercer un seguimiento informado y corresponsable.  </w:t>
      </w:r>
    </w:p>
    <w:p w:rsidRPr="00FC4BE6" w:rsidR="00B61180" w:rsidP="00B61180" w:rsidRDefault="00B61180" w14:paraId="2809865A" w14:textId="77777777">
      <w:pPr>
        <w:jc w:val="both"/>
        <w:rPr>
          <w:rFonts w:ascii="Arial" w:hAnsi="Arial" w:cs="Arial"/>
          <w:sz w:val="24"/>
          <w:szCs w:val="24"/>
        </w:rPr>
      </w:pPr>
      <w:r w:rsidRPr="00FC4BE6">
        <w:rPr>
          <w:rFonts w:ascii="Arial" w:hAnsi="Arial" w:cs="Arial"/>
          <w:sz w:val="24"/>
          <w:szCs w:val="24"/>
        </w:rPr>
        <w:t>Los mecanismos previstos en este eje no crean nuevas instancias de participación, no modifican los espacios institucionales existentes, no imponen obligaciones a terceros ni sustituyen las competencias constitucionales o legales de las autoridades públicas. Su finalidad consiste en fortalecer la articulación entre los espacios de participación ya existentes, facilitar el acceso a información verificable y promover una gobernanza ambiental basada en la coordinación institucional, la corresponsabilidad y el ejercicio permanente del control social.  </w:t>
      </w:r>
    </w:p>
    <w:p w:rsidRPr="00FC4BE6" w:rsidR="00B61180" w:rsidP="00B61180" w:rsidRDefault="00B61180" w14:paraId="1073E8F7" w14:textId="77777777">
      <w:pPr>
        <w:jc w:val="both"/>
        <w:rPr>
          <w:rFonts w:ascii="Arial" w:hAnsi="Arial" w:cs="Arial"/>
          <w:sz w:val="24"/>
          <w:szCs w:val="24"/>
        </w:rPr>
      </w:pPr>
      <w:r w:rsidRPr="00FC4BE6">
        <w:rPr>
          <w:rFonts w:ascii="Arial" w:hAnsi="Arial" w:cs="Arial"/>
          <w:sz w:val="24"/>
          <w:szCs w:val="24"/>
        </w:rPr>
        <w:t xml:space="preserve">Así mismo, este eje materializa el mandato de la Sentencia T-361 de 2017 según el cual la participación debe mantenerse durante la implementación de la resolución de delimitación, garantizando que las comunidades puedan conocer, hacer seguimiento </w:t>
      </w:r>
      <w:r w:rsidRPr="00FC4BE6">
        <w:rPr>
          <w:rFonts w:ascii="Arial" w:hAnsi="Arial" w:cs="Arial"/>
          <w:sz w:val="24"/>
          <w:szCs w:val="24"/>
        </w:rPr>
        <w:t>y verificar la manera en que los compromisos y decisiones derivados del proceso participativo se desarrollan en el territorio, fortaleciendo la confianza entre las instituciones y la ciudadanía mediante procesos permanentes de diálogo, transparencia y rendición de cuentas. </w:t>
      </w:r>
    </w:p>
    <w:p w:rsidRPr="00FC4BE6" w:rsidR="00B61180" w:rsidP="00B61180" w:rsidRDefault="00B61180" w14:paraId="49BCFD08" w14:textId="77777777">
      <w:pPr>
        <w:jc w:val="both"/>
        <w:rPr>
          <w:rFonts w:ascii="Arial" w:hAnsi="Arial" w:cs="Arial"/>
          <w:sz w:val="24"/>
          <w:szCs w:val="24"/>
        </w:rPr>
      </w:pPr>
      <w:r w:rsidRPr="00FC4BE6">
        <w:rPr>
          <w:rFonts w:ascii="Arial" w:hAnsi="Arial" w:cs="Arial"/>
          <w:sz w:val="24"/>
          <w:szCs w:val="24"/>
        </w:rPr>
        <w:t>3.2.1 Espacios de diálogo y seguimiento territorial  </w:t>
      </w:r>
    </w:p>
    <w:p w:rsidRPr="00FC4BE6" w:rsidR="00B61180" w:rsidP="00B61180" w:rsidRDefault="00B61180" w14:paraId="724409AC" w14:textId="77777777">
      <w:pPr>
        <w:jc w:val="both"/>
        <w:rPr>
          <w:rFonts w:ascii="Arial" w:hAnsi="Arial" w:cs="Arial"/>
          <w:sz w:val="24"/>
          <w:szCs w:val="24"/>
        </w:rPr>
      </w:pPr>
      <w:r w:rsidRPr="00FC4BE6">
        <w:rPr>
          <w:rFonts w:ascii="Arial" w:hAnsi="Arial" w:cs="Arial"/>
          <w:sz w:val="24"/>
          <w:szCs w:val="24"/>
        </w:rPr>
        <w:t>El Sistema de Fiscalización reconoce los espacios de diálogo y seguimiento territorial como escenarios fundamentales para el desarrollo de la participación permanente, la deliberación pública, la incidencia real de las comunidades en los procesos de gestión pública y el ejercicio del control social ambiental, conforme a los principios desarrollados por la Sentencia T-361 de 2017.  </w:t>
      </w:r>
    </w:p>
    <w:p w:rsidRPr="00FC4BE6" w:rsidR="00B61180" w:rsidP="00B61180" w:rsidRDefault="00B61180" w14:paraId="37340FA9" w14:textId="77777777">
      <w:pPr>
        <w:jc w:val="both"/>
        <w:rPr>
          <w:rFonts w:ascii="Arial" w:hAnsi="Arial" w:cs="Arial"/>
          <w:sz w:val="24"/>
          <w:szCs w:val="24"/>
        </w:rPr>
      </w:pPr>
      <w:r w:rsidRPr="00FC4BE6">
        <w:rPr>
          <w:rFonts w:ascii="Arial" w:hAnsi="Arial" w:cs="Arial"/>
          <w:sz w:val="24"/>
          <w:szCs w:val="24"/>
        </w:rPr>
        <w:t>Estos espacios facilitan el intercambio de información entre las comunidades, las autoridades públicas y los demás actores del Sistema, permiten realizar seguimiento a la implementación de la resolución de delimitación, identificar oportunamente dificultades o conflictos socioambientales y fortalecer la construcción conjunta de soluciones dentro del ámbito de las competencias de cada institución. Su desarrollo podrá realizarse a escala veredal, de corregimiento o en sectores urbano-paramunos cuando las dinámicas territoriales así lo requieran, con la participación de comunidades campesinas, Juntas de Acción Comunal y sus asociaciones, acueductos comunitarios y veredales, organizaciones sociales, organizaciones ambientales y demás expresiones organizativas presentes en el territorio, así como de las autoridades públicas y entidades competentes de acuerdo con sus funciones, competencias y capacidades institucionales.  </w:t>
      </w:r>
    </w:p>
    <w:p w:rsidRPr="00FC4BE6" w:rsidR="00B61180" w:rsidP="00B61180" w:rsidRDefault="00B61180" w14:paraId="634989C1" w14:textId="77777777">
      <w:pPr>
        <w:jc w:val="both"/>
        <w:rPr>
          <w:rFonts w:ascii="Arial" w:hAnsi="Arial" w:cs="Arial"/>
          <w:sz w:val="24"/>
          <w:szCs w:val="24"/>
        </w:rPr>
      </w:pPr>
      <w:r w:rsidRPr="00FC4BE6">
        <w:rPr>
          <w:rFonts w:ascii="Arial" w:hAnsi="Arial" w:cs="Arial"/>
          <w:sz w:val="24"/>
          <w:szCs w:val="24"/>
        </w:rPr>
        <w:t>En aplicación de los principios de coordinación, eficiencia y fortalecimiento de las capacidades territoriales, el sistema de fiscalización priorizará la articulación con los espacios de participación, coordinación y diálogo ya existentes en el territorio, identificados durante el diagnóstico de capacidades institucionales, las mesas promovidas por las Juntas Administradoras Locales y los demás escenarios institucionales o comunitarios que desarrollen funciones compatibles con los objetivos del Sistema.  </w:t>
      </w:r>
    </w:p>
    <w:p w:rsidRPr="00FC4BE6" w:rsidR="00B61180" w:rsidP="00B61180" w:rsidRDefault="00B61180" w14:paraId="17369645" w14:textId="77777777">
      <w:pPr>
        <w:jc w:val="both"/>
        <w:rPr>
          <w:rFonts w:ascii="Arial" w:hAnsi="Arial" w:cs="Arial"/>
          <w:sz w:val="24"/>
          <w:szCs w:val="24"/>
        </w:rPr>
      </w:pPr>
      <w:r w:rsidRPr="00FC4BE6">
        <w:rPr>
          <w:rFonts w:ascii="Arial" w:hAnsi="Arial" w:cs="Arial"/>
          <w:sz w:val="24"/>
          <w:szCs w:val="24"/>
        </w:rPr>
        <w:t xml:space="preserve">En consecuencia, el sistema de fiscalización no crea obligatoriamente nuevas instancias de participación cuando existan escenarios funcionales que permitan desarrollar adecuadamente los objetivos de seguimiento, deliberación y control social, sino que promueve su articulación, fortalecimiento y aprovechamiento, respetando la autonomía de las comunidades, la organización propia de cada territorio y las competencias de las entidades públicas. Sin perjuicio de lo anterior, el sistema reconoce que los procesos organizativos comunitarios son dinámicos y evolucionan de acuerdo con las necesidades del territorio. En este sentido, las comunidades podrán generar autónomamente nuevos espacios de diálogo, </w:t>
      </w:r>
      <w:r w:rsidRPr="00FC4BE6">
        <w:rPr>
          <w:rFonts w:ascii="Arial" w:hAnsi="Arial" w:cs="Arial"/>
          <w:sz w:val="24"/>
          <w:szCs w:val="24"/>
        </w:rPr>
        <w:t>seguimiento y deliberación, en ejercicio de su derecho a la participación y de sus formas propias de gobernanza territorial.  </w:t>
      </w:r>
    </w:p>
    <w:p w:rsidRPr="00FC4BE6" w:rsidR="00B61180" w:rsidP="00B61180" w:rsidRDefault="00B61180" w14:paraId="242F90C9" w14:textId="77777777">
      <w:pPr>
        <w:jc w:val="both"/>
        <w:rPr>
          <w:rFonts w:ascii="Arial" w:hAnsi="Arial" w:cs="Arial"/>
          <w:sz w:val="24"/>
          <w:szCs w:val="24"/>
        </w:rPr>
      </w:pPr>
      <w:r w:rsidRPr="00FC4BE6">
        <w:rPr>
          <w:rFonts w:ascii="Arial" w:hAnsi="Arial" w:cs="Arial"/>
          <w:sz w:val="24"/>
          <w:szCs w:val="24"/>
        </w:rPr>
        <w:t>Cuando ello ocurra, el sistema de fiscalización propiciará su articulación con las autoridades ambientales, las entidades territoriales y los demás actores institucionales, promoviendo el acompañamiento técnico e institucional que resulte procedente dentro del ámbito de las competencias de cada entidad, sin intervenir en su organización interna ni condicionar su funcionamiento. Estos espacios constituyen escenarios para el intercambio de información, la deliberación pública, la construcción de confianza entre comunidades e instituciones y el fortalecimiento del seguimiento corresponsable a la implementación de la resolución de delimitación. No sustituyen la Instancia de Coordinación ni ejercen funciones administrativas o decisorias, sino que fortalecen la gobernanza territorial mediante una participación informada, permanente y con incidencia real, permitiendo que las comunidades conozcan, comprendan y hagan seguimiento a la forma en que sus aportes son considerados durante la implementación de las decisiones adoptadas. </w:t>
      </w:r>
    </w:p>
    <w:p w:rsidRPr="00FC4BE6" w:rsidR="00B61180" w:rsidP="00B61180" w:rsidRDefault="00B61180" w14:paraId="4FD23FF1" w14:textId="77777777">
      <w:pPr>
        <w:jc w:val="both"/>
        <w:rPr>
          <w:rFonts w:ascii="Arial" w:hAnsi="Arial" w:cs="Arial"/>
          <w:sz w:val="24"/>
          <w:szCs w:val="24"/>
        </w:rPr>
      </w:pPr>
      <w:r w:rsidRPr="00FC4BE6">
        <w:rPr>
          <w:rFonts w:ascii="Arial" w:hAnsi="Arial" w:cs="Arial"/>
          <w:sz w:val="24"/>
          <w:szCs w:val="24"/>
        </w:rPr>
        <w:t>3.2.2 Registro de acuerdos  </w:t>
      </w:r>
    </w:p>
    <w:p w:rsidRPr="00FC4BE6" w:rsidR="00B61180" w:rsidP="00B61180" w:rsidRDefault="00B61180" w14:paraId="4FEBE0FC" w14:textId="77777777">
      <w:pPr>
        <w:jc w:val="both"/>
        <w:rPr>
          <w:rFonts w:ascii="Arial" w:hAnsi="Arial" w:cs="Arial"/>
          <w:sz w:val="24"/>
          <w:szCs w:val="24"/>
        </w:rPr>
      </w:pPr>
      <w:r w:rsidRPr="00FC4BE6">
        <w:rPr>
          <w:rFonts w:ascii="Arial" w:hAnsi="Arial" w:cs="Arial"/>
          <w:sz w:val="24"/>
          <w:szCs w:val="24"/>
        </w:rPr>
        <w:t>Los compromisos, acuerdos, recomendaciones y demás resultados derivados de las mesas de trabajo, talleres, espacios de diálogo, reuniones territoriales y demás escenarios de participación que hagan parte del sistema de fiscalización se documentarán mediante las actas, matrices de seguimiento o los instrumentos de registro que utilicen las autoridades competentes para el desarrollo de dichos espacios. Como mínimo, estos instrumentos deberán permitir identificar el compromiso o acuerdo alcanzado, la entidad o actor llamado a actuar conforme a sus competencias o responsabilidades, los plazos o hitos de seguimiento cuando resulten procedentes, los medios de verificación previstos y el estado de avance de su implementación, de conformidad con la naturaleza de cada compromiso.  </w:t>
      </w:r>
    </w:p>
    <w:p w:rsidRPr="00FC4BE6" w:rsidR="00B61180" w:rsidP="00B61180" w:rsidRDefault="00B61180" w14:paraId="2722F49F" w14:textId="77777777">
      <w:pPr>
        <w:jc w:val="both"/>
        <w:rPr>
          <w:rFonts w:ascii="Arial" w:hAnsi="Arial" w:cs="Arial"/>
          <w:sz w:val="24"/>
          <w:szCs w:val="24"/>
        </w:rPr>
      </w:pPr>
      <w:r w:rsidRPr="00FC4BE6">
        <w:rPr>
          <w:rFonts w:ascii="Arial" w:hAnsi="Arial" w:cs="Arial"/>
          <w:sz w:val="24"/>
          <w:szCs w:val="24"/>
        </w:rPr>
        <w:t>El registro de acuerdos no constituye un nuevo procedimiento administrativo ni un sistema independiente de administración documental. El sistema de fiscalización se alimenta de la información contenida en las actas, matrices y demás instrumentos oficialmente elaborados por las autoridades competentes y por los actores que participan en los respectivos espacios, consolidando dicha información para efectos de seguimiento, trazabilidad, transparencia y control social. La administración, conservación y actualización de los registros corresponderá a las autoridades ambientales competentes que lideren o participen en los respectivos espacios de diálogo, de conformidad con sus competencias, las reglas de gestión documental aplicables y las responsabilidades que se definan en el marco de la Instancia de Coordinación, sin perjuicio de las obligaciones que correspondan a las demás entidades respecto de la información que produzcan en ejercicio de sus funciones.  </w:t>
      </w:r>
    </w:p>
    <w:p w:rsidRPr="00FC4BE6" w:rsidR="00B61180" w:rsidP="00B61180" w:rsidRDefault="00B61180" w14:paraId="030F3FC6" w14:textId="77777777">
      <w:pPr>
        <w:jc w:val="both"/>
        <w:rPr>
          <w:rFonts w:ascii="Arial" w:hAnsi="Arial" w:cs="Arial"/>
          <w:sz w:val="24"/>
          <w:szCs w:val="24"/>
        </w:rPr>
      </w:pPr>
      <w:r w:rsidRPr="00FC4BE6">
        <w:rPr>
          <w:rFonts w:ascii="Arial" w:hAnsi="Arial" w:cs="Arial"/>
          <w:sz w:val="24"/>
          <w:szCs w:val="24"/>
        </w:rPr>
        <w:t>El sistema de fiscalización consolidará la información derivada de estos registros con el propósito de facilitar el seguimiento a la implementación de los compromisos, fortalecer la rendición de cuentas, apoyar las labores de la Instancia de Coordinación y poner a disposición de las comunidades información verificable sobre el avance de las decisiones adoptadas durante el proceso participativo. Así mismo, el registro permitirá evidenciar la trazabilidad de los compromisos asumidos y la forma en que los aportes, observaciones y propuestas formuladas por las comunidades son considerados durante la implementación de la resolución de delimitación, fortaleciendo la incidencia real de la participación, la transparencia de la gestión pública y el ejercicio del control social previsto por la Sentencia T-361 de 2017.  </w:t>
      </w:r>
    </w:p>
    <w:p w:rsidRPr="00FC4BE6" w:rsidR="00B61180" w:rsidP="00B61180" w:rsidRDefault="00B61180" w14:paraId="7B0E3165" w14:textId="77777777">
      <w:pPr>
        <w:jc w:val="both"/>
        <w:rPr>
          <w:rFonts w:ascii="Arial" w:hAnsi="Arial" w:cs="Arial"/>
          <w:sz w:val="24"/>
          <w:szCs w:val="24"/>
        </w:rPr>
      </w:pPr>
      <w:r w:rsidRPr="00FC4BE6">
        <w:rPr>
          <w:rFonts w:ascii="Arial" w:hAnsi="Arial" w:cs="Arial"/>
          <w:sz w:val="24"/>
          <w:szCs w:val="24"/>
        </w:rPr>
        <w:t>En todo caso, el registro de acuerdos no modifica el alcance jurídico de las decisiones adoptadas, no sustituye los actos administrativos que deban expedirse conforme al ordenamiento jurídico ni crea obligaciones adicionales distintas de aquellas que se deriven de las competencias legales de cada entidad. Su finalidad es proporcionar un mecanismo de seguimiento verificable que permita conocer el estado de cumplimiento de los compromisos, fortalecer la coordinación institucional y facilitar el ejercicio de la fiscalización entendida como la verificación del cumplimiento de las decisiones adoptadas. </w:t>
      </w:r>
    </w:p>
    <w:p w:rsidRPr="00FC4BE6" w:rsidR="00B61180" w:rsidP="00B61180" w:rsidRDefault="00B61180" w14:paraId="6A89DECF" w14:textId="77777777">
      <w:pPr>
        <w:jc w:val="both"/>
        <w:rPr>
          <w:rFonts w:ascii="Arial" w:hAnsi="Arial" w:cs="Arial"/>
          <w:sz w:val="24"/>
          <w:szCs w:val="24"/>
        </w:rPr>
      </w:pPr>
      <w:r w:rsidRPr="00FC4BE6">
        <w:rPr>
          <w:rFonts w:ascii="Arial" w:hAnsi="Arial" w:cs="Arial"/>
          <w:sz w:val="24"/>
          <w:szCs w:val="24"/>
        </w:rPr>
        <w:t>3.2.3 Articulación con mecanismos comunitarios de seguimiento  </w:t>
      </w:r>
    </w:p>
    <w:p w:rsidRPr="00FC4BE6" w:rsidR="00B61180" w:rsidP="00B61180" w:rsidRDefault="00B61180" w14:paraId="4635AA5A" w14:textId="77777777">
      <w:pPr>
        <w:jc w:val="both"/>
        <w:rPr>
          <w:rFonts w:ascii="Arial" w:hAnsi="Arial" w:cs="Arial"/>
          <w:sz w:val="24"/>
          <w:szCs w:val="24"/>
        </w:rPr>
      </w:pPr>
      <w:r w:rsidRPr="00FC4BE6">
        <w:rPr>
          <w:rFonts w:ascii="Arial" w:hAnsi="Arial" w:cs="Arial"/>
          <w:sz w:val="24"/>
          <w:szCs w:val="24"/>
        </w:rPr>
        <w:t>El sistema de fiscalización reconoce que las comunidades del páramo, en ejercicio de su autonomía, de sus formas propias de organización y de su gobernanza territorial, pueden desarrollar mecanismos comunitarios de seguimiento a las alertas, a los compromisos derivados de los espacios de participación y a la implementación de la resolución de delimitación. Estos mecanismos constituyen expresiones legítimas del ejercicio del control social ambiental y de la participación permanente prevista en la Sentencia T-361 de 2017.  </w:t>
      </w:r>
    </w:p>
    <w:p w:rsidRPr="00FC4BE6" w:rsidR="00B61180" w:rsidP="00B61180" w:rsidRDefault="00B61180" w14:paraId="13D521E7" w14:textId="77777777">
      <w:pPr>
        <w:jc w:val="both"/>
        <w:rPr>
          <w:rFonts w:ascii="Arial" w:hAnsi="Arial" w:cs="Arial"/>
          <w:sz w:val="24"/>
          <w:szCs w:val="24"/>
        </w:rPr>
      </w:pPr>
      <w:r w:rsidRPr="00FC4BE6">
        <w:rPr>
          <w:rFonts w:ascii="Arial" w:hAnsi="Arial" w:cs="Arial"/>
          <w:sz w:val="24"/>
          <w:szCs w:val="24"/>
        </w:rPr>
        <w:t>En consecuencia, su diseño, organización, funcionamiento, metodología, soporte tecnológico o no tecnológico y demás características corresponden exclusivamente a las comunidades, sin que el sistema de fiscalización los cree, reglamente, estandarice o imponga modelos uniformes de funcionamiento. La finalidad de estos mecanismos es fortalecer la capacidad de las comunidades para realizar un seguimiento informado a las actuaciones institucionales, verificar el estado de avance de los compromisos derivados del proceso participativo y ejercer una participación con incidencia real en los procesos de gestión pública relacionados con la implementación de la resolución de delimitación.  </w:t>
      </w:r>
    </w:p>
    <w:p w:rsidRPr="00FC4BE6" w:rsidR="00B61180" w:rsidP="00B61180" w:rsidRDefault="00B61180" w14:paraId="72826146" w14:textId="77777777">
      <w:pPr>
        <w:jc w:val="both"/>
        <w:rPr>
          <w:rFonts w:ascii="Arial" w:hAnsi="Arial" w:cs="Arial"/>
          <w:sz w:val="24"/>
          <w:szCs w:val="24"/>
        </w:rPr>
      </w:pPr>
      <w:r w:rsidRPr="00FC4BE6">
        <w:rPr>
          <w:rFonts w:ascii="Arial" w:hAnsi="Arial" w:cs="Arial"/>
          <w:sz w:val="24"/>
          <w:szCs w:val="24"/>
        </w:rPr>
        <w:t xml:space="preserve">Cuando estos mecanismos existan, el sistema de Fiscalización promoverá su articulación con la información institucional disponible, respetando la autonomía comunitaria, la distribución de competencias y el régimen jurídico aplicable al acceso </w:t>
      </w:r>
      <w:r w:rsidRPr="00FC4BE6">
        <w:rPr>
          <w:rFonts w:ascii="Arial" w:hAnsi="Arial" w:cs="Arial"/>
          <w:sz w:val="24"/>
          <w:szCs w:val="24"/>
        </w:rPr>
        <w:t>a la información pública. Como mínimo, dicha articulación podrá desarrollarse a partir de los siguientes elementos:  </w:t>
      </w:r>
    </w:p>
    <w:p w:rsidRPr="00FC4BE6" w:rsidR="00B61180" w:rsidP="00B61180" w:rsidRDefault="00B61180" w14:paraId="0EDAA9C7" w14:textId="77777777">
      <w:pPr>
        <w:numPr>
          <w:ilvl w:val="0"/>
          <w:numId w:val="74"/>
        </w:numPr>
        <w:jc w:val="both"/>
        <w:rPr>
          <w:rFonts w:ascii="Arial" w:hAnsi="Arial" w:cs="Arial"/>
          <w:sz w:val="24"/>
          <w:szCs w:val="24"/>
        </w:rPr>
      </w:pPr>
      <w:r w:rsidRPr="00FC4BE6">
        <w:rPr>
          <w:rFonts w:ascii="Arial" w:hAnsi="Arial" w:cs="Arial"/>
          <w:sz w:val="24"/>
          <w:szCs w:val="24"/>
        </w:rPr>
        <w:t>Código o número de radicación: el código o número de radicación asignado por la autoridad competente al momento de recibir la alerta constituye el principal elemento de articulación entre el seguimiento institucional y el seguimiento comunitario. La entidad competente comunicará dicho número a la persona que presentó la alerta, de conformidad con los procedimientos administrativos aplicables, permitiendo que las comunidades, si así lo deciden, lo incorporen dentro de sus propios mecanismos de seguimiento, incluyendo los códigos, nomenclaturas o sistemas de identificación que autónomamente definan para sus procesos organizativos.  </w:t>
      </w:r>
    </w:p>
    <w:p w:rsidRPr="00FC4BE6" w:rsidR="00B61180" w:rsidP="00B61180" w:rsidRDefault="00B61180" w14:paraId="75AFE7C5" w14:textId="77777777">
      <w:pPr>
        <w:numPr>
          <w:ilvl w:val="0"/>
          <w:numId w:val="75"/>
        </w:numPr>
        <w:jc w:val="both"/>
        <w:rPr>
          <w:rFonts w:ascii="Arial" w:hAnsi="Arial" w:cs="Arial"/>
          <w:sz w:val="24"/>
          <w:szCs w:val="24"/>
        </w:rPr>
      </w:pPr>
      <w:r w:rsidRPr="00FC4BE6">
        <w:rPr>
          <w:rFonts w:ascii="Arial" w:hAnsi="Arial" w:cs="Arial"/>
          <w:sz w:val="24"/>
          <w:szCs w:val="24"/>
        </w:rPr>
        <w:t>Estado general de la actuación: el mecanismo comunitario podrá articularse con la información pública disponible sobre el estado general de la actuación administrativa, conforme a la información oficialmente producida por la entidad competente y susceptible de divulgación de acuerdo con el régimen de acceso a la información pública. Para estos efectos, el Sistema de Fiscalización consolidará la información relacionada con estados generales de seguimiento, tales como la recepción de la alerta, su traslado cuando resulte procedente, la existencia de actuaciones registradas, la culminación del trámite o cualquier otra información pública que permita fortalecer la trazabilidad institucional y el control social, sin sustituir los sistemas de información propios de las entidades ni divulgar información sometida a reserva legal o confidencialidad.  </w:t>
      </w:r>
    </w:p>
    <w:p w:rsidRPr="00FC4BE6" w:rsidR="00B61180" w:rsidP="00B61180" w:rsidRDefault="00B61180" w14:paraId="785B5E68" w14:textId="77777777">
      <w:pPr>
        <w:numPr>
          <w:ilvl w:val="0"/>
          <w:numId w:val="76"/>
        </w:numPr>
        <w:jc w:val="both"/>
        <w:rPr>
          <w:rFonts w:ascii="Arial" w:hAnsi="Arial" w:cs="Arial"/>
          <w:sz w:val="24"/>
          <w:szCs w:val="24"/>
        </w:rPr>
      </w:pPr>
      <w:r w:rsidRPr="00FC4BE6">
        <w:rPr>
          <w:rFonts w:ascii="Arial" w:hAnsi="Arial" w:cs="Arial"/>
          <w:sz w:val="24"/>
          <w:szCs w:val="24"/>
        </w:rPr>
        <w:t>Punto de contacto territorial: cuando la alerta haya sido radicada mediante alguno de los puntos de contacto territorial previstos en el presente documento, estos podrán facilitar la comunicación entre la comunidad y la entidad competente respecto del estado general del trámite, dentro del ámbito de sus funciones y respetando las competencias de la autoridad responsable de la actuación administrativa. Su participación se limita a facilitar la articulación institucional y el acceso a la información disponible, sin intervenir en la decisión administrativa, en la evaluación técnica de los hechos o en el desarrollo del procedimiento correspondiente.  </w:t>
      </w:r>
    </w:p>
    <w:p w:rsidRPr="00FC4BE6" w:rsidR="00B61180" w:rsidP="00B61180" w:rsidRDefault="00B61180" w14:paraId="6441C712" w14:textId="77777777">
      <w:pPr>
        <w:jc w:val="both"/>
        <w:rPr>
          <w:rFonts w:ascii="Arial" w:hAnsi="Arial" w:cs="Arial"/>
          <w:sz w:val="24"/>
          <w:szCs w:val="24"/>
        </w:rPr>
      </w:pPr>
      <w:r w:rsidRPr="00FC4BE6">
        <w:rPr>
          <w:rFonts w:ascii="Arial" w:hAnsi="Arial" w:cs="Arial"/>
          <w:sz w:val="24"/>
          <w:szCs w:val="24"/>
        </w:rPr>
        <w:t xml:space="preserve">La articulación prevista en este numeral tiene como finalidad fortalecer la transparencia, la trazabilidad y la confianza entre las comunidades y las instituciones, permitiendo que los mecanismos comunitarios de seguimiento se nutran de la información oficialmente generada por las entidades públicas, mientras que el sistema de fiscalización incorpora la información producida por las comunidades </w:t>
      </w:r>
      <w:r w:rsidRPr="00FC4BE6">
        <w:rPr>
          <w:rFonts w:ascii="Arial" w:hAnsi="Arial" w:cs="Arial"/>
          <w:sz w:val="24"/>
          <w:szCs w:val="24"/>
        </w:rPr>
        <w:t>para fortalecer el seguimiento corresponsable, el control social y la verificación del cumplimiento de las decisiones adoptadas.  </w:t>
      </w:r>
    </w:p>
    <w:p w:rsidRPr="00FC4BE6" w:rsidR="00B61180" w:rsidP="00B61180" w:rsidRDefault="00B61180" w14:paraId="4A7EF127" w14:textId="77777777">
      <w:pPr>
        <w:jc w:val="both"/>
        <w:rPr>
          <w:rFonts w:ascii="Arial" w:hAnsi="Arial" w:cs="Arial"/>
          <w:sz w:val="24"/>
          <w:szCs w:val="24"/>
        </w:rPr>
      </w:pPr>
      <w:r w:rsidRPr="00FC4BE6">
        <w:rPr>
          <w:rFonts w:ascii="Arial" w:hAnsi="Arial" w:cs="Arial"/>
          <w:sz w:val="24"/>
          <w:szCs w:val="24"/>
        </w:rPr>
        <w:t>En ningún caso esta articulación implica la creación de un sistema único de seguimiento, la integración obligatoria de las herramientas comunitarias a plataformas institucionales o la pérdida de autonomía de las organizaciones sociales. Por el contrario, el Sistema reconoce que la diversidad de mecanismos comunitarios constituye una expresión de la gobernanza territorial y un elemento esencial para garantizar una participación efectiva con incidencia real, conforme a los estándares establecidos por la Sentencia T-361 de 2017. </w:t>
      </w:r>
    </w:p>
    <w:p w:rsidRPr="00FC4BE6" w:rsidR="00B61180" w:rsidP="00B61180" w:rsidRDefault="00B61180" w14:paraId="02F6496D" w14:textId="77777777">
      <w:pPr>
        <w:jc w:val="both"/>
        <w:rPr>
          <w:rFonts w:ascii="Arial" w:hAnsi="Arial" w:cs="Arial"/>
          <w:sz w:val="24"/>
          <w:szCs w:val="24"/>
        </w:rPr>
      </w:pPr>
      <w:r w:rsidRPr="00FC4BE6">
        <w:rPr>
          <w:rFonts w:ascii="Arial" w:hAnsi="Arial" w:cs="Arial"/>
          <w:sz w:val="24"/>
          <w:szCs w:val="24"/>
        </w:rPr>
        <w:t>3.2.4 Control social comunitario  </w:t>
      </w:r>
    </w:p>
    <w:p w:rsidRPr="00FC4BE6" w:rsidR="00B61180" w:rsidP="00B61180" w:rsidRDefault="00B61180" w14:paraId="3D6B8F6C" w14:textId="77777777">
      <w:pPr>
        <w:jc w:val="both"/>
        <w:rPr>
          <w:rFonts w:ascii="Arial" w:hAnsi="Arial" w:cs="Arial"/>
          <w:sz w:val="24"/>
          <w:szCs w:val="24"/>
        </w:rPr>
      </w:pPr>
      <w:r w:rsidRPr="00FC4BE6">
        <w:rPr>
          <w:rFonts w:ascii="Arial" w:hAnsi="Arial" w:cs="Arial"/>
          <w:sz w:val="24"/>
          <w:szCs w:val="24"/>
        </w:rPr>
        <w:t>El sistema de fiscalización reconoce el control social comunitario como uno de los principales mecanismos para materializar la participación permanente, la incidencia real de las comunidades en los procesos de gestión pública y la verificación del cumplimiento de las decisiones adoptadas, conforme a la Sentencia T-361 de 2017, a los derechos de participación reconocidos en la Constitución Política, a la Ley 850 de 2003, a la Ley Estatutaria 1757 de 2015 y a los principios del Acuerdo de Escazú, aprobado mediante la Ley 2273 de 2022. En desarrollo de estos principios, las comunidades campesinas e indígenas, las veedurías ciudadanas, las Juntas de Acción Comunal y sus asociaciones, los acueductos comunitarios y veredales, las organizaciones sociales, ambientales y comunitarias, así como las demás formas de organización presentes en el territorio, podrán ejercer autónomamente actividades de observación, seguimiento, evaluación y control social sobre la implementación de la resolución de delimitación, el cumplimiento de los compromisos derivados del proceso participativo, la atención institucional de las alertas y las demás actuaciones relacionadas con la gestión integral del páramo.  </w:t>
      </w:r>
    </w:p>
    <w:p w:rsidRPr="00FC4BE6" w:rsidR="00B61180" w:rsidP="00B61180" w:rsidRDefault="00B61180" w14:paraId="6269FE3F" w14:textId="77777777">
      <w:pPr>
        <w:jc w:val="both"/>
        <w:rPr>
          <w:rFonts w:ascii="Arial" w:hAnsi="Arial" w:cs="Arial"/>
          <w:sz w:val="24"/>
          <w:szCs w:val="24"/>
        </w:rPr>
      </w:pPr>
      <w:r w:rsidRPr="00FC4BE6">
        <w:rPr>
          <w:rFonts w:ascii="Arial" w:hAnsi="Arial" w:cs="Arial"/>
          <w:sz w:val="24"/>
          <w:szCs w:val="24"/>
        </w:rPr>
        <w:t>Este ejercicio podrá comprender, entre otras actuaciones, la observación territorial, el seguimiento a los compromisos institucionales, la elaboración de registros comunitarios, la formulación de observaciones, la presentación de alertas, la participación en los espacios de diálogo y seguimiento territorial, la solicitud de información pública, la formulación de recomendaciones y la utilización de los mecanismos constitucionales y legales de participación y control social que resulten procedentes.  </w:t>
      </w:r>
    </w:p>
    <w:p w:rsidRPr="00FC4BE6" w:rsidR="00B61180" w:rsidP="00B61180" w:rsidRDefault="00B61180" w14:paraId="174BA9D4" w14:textId="77777777">
      <w:pPr>
        <w:jc w:val="both"/>
        <w:rPr>
          <w:rFonts w:ascii="Arial" w:hAnsi="Arial" w:cs="Arial"/>
          <w:sz w:val="24"/>
          <w:szCs w:val="24"/>
        </w:rPr>
      </w:pPr>
      <w:r w:rsidRPr="00FC4BE6">
        <w:rPr>
          <w:rFonts w:ascii="Arial" w:hAnsi="Arial" w:cs="Arial"/>
          <w:sz w:val="24"/>
          <w:szCs w:val="24"/>
        </w:rPr>
        <w:t xml:space="preserve">La información obtenida mediante estos ejercicios podrá ser puesta en conocimiento de las autoridades competentes a través de los canales institucionales previstos en el presente Sistema o mediante los demás mecanismos de participación establecidos en el ordenamiento jurídico, contribuyendo al fortalecimiento de la coordinación institucional, la transparencia, la rendición de cuentas y el seguimiento corresponsable a la implementación de la resolución de delimitación. El ejercicio del </w:t>
      </w:r>
      <w:r w:rsidRPr="00FC4BE6">
        <w:rPr>
          <w:rFonts w:ascii="Arial" w:hAnsi="Arial" w:cs="Arial"/>
          <w:sz w:val="24"/>
          <w:szCs w:val="24"/>
        </w:rPr>
        <w:t>control social comunitario no implica el desarrollo de funciones de autoridad administrativa, inspección, vigilancia, control ambiental, investigación o potestad sancionatoria, competencias que continúan correspondiendo exclusivamente a las autoridades públicas en los términos previstos por la Constitución y la ley. Su finalidad consiste en fortalecer la participación informada, la vigilancia ciudadana sobre la gestión pública y la construcción de relaciones de confianza entre las comunidades y las instituciones.  </w:t>
      </w:r>
    </w:p>
    <w:p w:rsidRPr="00FC4BE6" w:rsidR="00B61180" w:rsidP="00B61180" w:rsidRDefault="00B61180" w14:paraId="4CBEF5EB" w14:textId="77777777">
      <w:pPr>
        <w:jc w:val="both"/>
        <w:rPr>
          <w:rFonts w:ascii="Arial" w:hAnsi="Arial" w:cs="Arial"/>
          <w:sz w:val="24"/>
          <w:szCs w:val="24"/>
        </w:rPr>
      </w:pPr>
      <w:r w:rsidRPr="00FC4BE6">
        <w:rPr>
          <w:rFonts w:ascii="Arial" w:hAnsi="Arial" w:cs="Arial"/>
          <w:sz w:val="24"/>
          <w:szCs w:val="24"/>
        </w:rPr>
        <w:t>En armonía con el Acuerdo de Escazú, el sistema de fiscalización promoverá condiciones que favorezcan el ejercicio libre, informado y seguro del control social ambiental, fortaleciendo el acceso a la información pública ambiental, la participación efectiva de las comunidades y la articulación con las rutas institucionales de protección cuando quienes ejerzan actividades de seguimiento o defensa ambiental enfrenten situaciones de riesgo, sin sustituir las competencias de las autoridades encargadas de la protección de las personas defensoras de derechos humanos en asuntos ambientales.  </w:t>
      </w:r>
    </w:p>
    <w:p w:rsidRPr="00FC4BE6" w:rsidR="00B61180" w:rsidP="00B61180" w:rsidRDefault="00B61180" w14:paraId="54ED1249" w14:textId="77777777">
      <w:pPr>
        <w:jc w:val="both"/>
        <w:rPr>
          <w:rFonts w:ascii="Arial" w:hAnsi="Arial" w:cs="Arial"/>
          <w:sz w:val="24"/>
          <w:szCs w:val="24"/>
        </w:rPr>
      </w:pPr>
      <w:r w:rsidRPr="00FC4BE6">
        <w:rPr>
          <w:rFonts w:ascii="Arial" w:hAnsi="Arial" w:cs="Arial"/>
          <w:sz w:val="24"/>
          <w:szCs w:val="24"/>
        </w:rPr>
        <w:t>El sistema de fiscalización no dirige ni coordina el ejercicio del control social, sino que reconoce, respeta y fortalece las iniciativas comunitarias existentes, promoviendo su articulación con la información institucional disponible y consolidando la trazabilidad necesaria para que las comunidades puedan verificar, de manera objetiva y permanente, el avance de los compromisos, la respuesta de las entidades competentes y la forma en que sus aportes inciden en la implementación de la resolución de delimitación. </w:t>
      </w:r>
    </w:p>
    <w:p w:rsidRPr="00FC4BE6" w:rsidR="00B61180" w:rsidP="00B61180" w:rsidRDefault="00B61180" w14:paraId="25E35329" w14:textId="77777777">
      <w:pPr>
        <w:jc w:val="both"/>
        <w:rPr>
          <w:rFonts w:ascii="Arial" w:hAnsi="Arial" w:cs="Arial"/>
          <w:sz w:val="24"/>
          <w:szCs w:val="24"/>
        </w:rPr>
      </w:pPr>
      <w:r w:rsidRPr="00FC4BE6">
        <w:rPr>
          <w:rFonts w:ascii="Arial" w:hAnsi="Arial" w:cs="Arial"/>
          <w:sz w:val="24"/>
          <w:szCs w:val="24"/>
        </w:rPr>
        <w:t>3.3 Eje 3. Evaluación y seguimiento de la fiscalización </w:t>
      </w:r>
    </w:p>
    <w:p w:rsidRPr="00FC4BE6" w:rsidR="00B61180" w:rsidP="00B61180" w:rsidRDefault="00B61180" w14:paraId="1CFA212A" w14:textId="77777777">
      <w:pPr>
        <w:jc w:val="both"/>
        <w:rPr>
          <w:rFonts w:ascii="Arial" w:hAnsi="Arial" w:cs="Arial"/>
          <w:sz w:val="24"/>
          <w:szCs w:val="24"/>
        </w:rPr>
      </w:pPr>
      <w:r w:rsidRPr="00FC4BE6">
        <w:rPr>
          <w:rFonts w:ascii="Arial" w:hAnsi="Arial" w:cs="Arial"/>
          <w:sz w:val="24"/>
          <w:szCs w:val="24"/>
        </w:rPr>
        <w:t>Este eje desarrolla los mecanismos mediante los cuales el sistema de fiscalización fortalece la transparencia, el acceso a la información pública ambiental, la trazabilidad de las actuaciones institucionales y la rendición de cuentas asociadas a la implementación de la resolución de delimitación, facilitando el ejercicio de un control social informado y la verificación permanente del cumplimiento de las decisiones adoptadas, en armonía con la Sentencia T- 361 de 2017 y con los principios de acceso a la información previstos en el Acuerdo de Escazú. La transparencia constituye un elemento estructural del Sistema de Fiscalización, en la medida en que permite que las comunidades, las autoridades públicas y los demás actores conozcan de manera clara, comprensible y verificable el estado general de las alertas, los compromisos derivados del proceso participativo, las actuaciones institucionales y los avances en la implementación de la resolución de delimitación.  </w:t>
      </w:r>
    </w:p>
    <w:p w:rsidRPr="00FC4BE6" w:rsidR="00B61180" w:rsidP="00B61180" w:rsidRDefault="00B61180" w14:paraId="42D716DC" w14:textId="77777777">
      <w:pPr>
        <w:jc w:val="both"/>
        <w:rPr>
          <w:rFonts w:ascii="Arial" w:hAnsi="Arial" w:cs="Arial"/>
          <w:sz w:val="24"/>
          <w:szCs w:val="24"/>
        </w:rPr>
      </w:pPr>
      <w:r w:rsidRPr="00FC4BE6">
        <w:rPr>
          <w:rFonts w:ascii="Arial" w:hAnsi="Arial" w:cs="Arial"/>
          <w:sz w:val="24"/>
          <w:szCs w:val="24"/>
        </w:rPr>
        <w:t xml:space="preserve">Para el cumplimiento de este propósito, el sistema de fiscalización no produce información primaria ni crea sistemas paralelos de información, sino que consolida, organiza, articula, sistematiza y hace trazable la información oficialmente producida </w:t>
      </w:r>
      <w:r w:rsidRPr="00FC4BE6">
        <w:rPr>
          <w:rFonts w:ascii="Arial" w:hAnsi="Arial" w:cs="Arial"/>
          <w:sz w:val="24"/>
          <w:szCs w:val="24"/>
        </w:rPr>
        <w:t>por las autoridades públicas, las entidades territoriales, las comunidades, las organizaciones sociales y los demás actores que integran el Sistema, respetando las competencias de cada entidad y el régimen jurídico aplicable en materia de acceso a la información pública, protección de datos personales y reserva legal.  </w:t>
      </w:r>
    </w:p>
    <w:p w:rsidRPr="00FC4BE6" w:rsidR="00B61180" w:rsidP="00B61180" w:rsidRDefault="00B61180" w14:paraId="5094BE27" w14:textId="77777777">
      <w:pPr>
        <w:jc w:val="both"/>
        <w:rPr>
          <w:rFonts w:ascii="Arial" w:hAnsi="Arial" w:cs="Arial"/>
          <w:sz w:val="24"/>
          <w:szCs w:val="24"/>
        </w:rPr>
      </w:pPr>
      <w:r w:rsidRPr="00FC4BE6">
        <w:rPr>
          <w:rFonts w:ascii="Arial" w:hAnsi="Arial" w:cs="Arial"/>
          <w:sz w:val="24"/>
          <w:szCs w:val="24"/>
        </w:rPr>
        <w:t>En desarrollo de este eje, el sistema promoverá que la información relevante para la implementación de la resolución de delimitación sea presentada de manera comprensible, accesible y verificable, facilitando que las comunidades puedan conocer el estado de avance de los compromisos, realizar seguimiento a las actuaciones institucionales y ejercer un control social informado sobre la gestión pública relacionada con el páramo.  </w:t>
      </w:r>
    </w:p>
    <w:p w:rsidRPr="00FC4BE6" w:rsidR="00B61180" w:rsidP="00B61180" w:rsidRDefault="00B61180" w14:paraId="754FBBE6" w14:textId="77777777">
      <w:pPr>
        <w:jc w:val="both"/>
        <w:rPr>
          <w:rFonts w:ascii="Arial" w:hAnsi="Arial" w:cs="Arial"/>
          <w:sz w:val="24"/>
          <w:szCs w:val="24"/>
        </w:rPr>
      </w:pPr>
      <w:r w:rsidRPr="00FC4BE6">
        <w:rPr>
          <w:rFonts w:ascii="Arial" w:hAnsi="Arial" w:cs="Arial"/>
          <w:sz w:val="24"/>
          <w:szCs w:val="24"/>
        </w:rPr>
        <w:t>Los mecanismos previstos en este eje no crean nuevas instancias de control, no sustituyen los sistemas institucionales de información, no modifican las obligaciones de publicidad establecidas en la legislación vigente ni alteran las competencias de las entidades públicas responsables de producir, custodiar y divulgar la información.  </w:t>
      </w:r>
    </w:p>
    <w:p w:rsidRPr="00FC4BE6" w:rsidR="00B61180" w:rsidP="00B61180" w:rsidRDefault="00B61180" w14:paraId="0EE86FAD" w14:textId="77777777">
      <w:pPr>
        <w:jc w:val="both"/>
        <w:rPr>
          <w:rFonts w:ascii="Arial" w:hAnsi="Arial" w:cs="Arial"/>
          <w:sz w:val="24"/>
          <w:szCs w:val="24"/>
        </w:rPr>
      </w:pPr>
      <w:r w:rsidRPr="00FC4BE6">
        <w:rPr>
          <w:rFonts w:ascii="Arial" w:hAnsi="Arial" w:cs="Arial"/>
          <w:sz w:val="24"/>
          <w:szCs w:val="24"/>
        </w:rPr>
        <w:t>Su finalidad consiste en fortalecer la coordinación institucional, la circulación de la información, la rendición de cuentas y la confianza entre las instituciones y las comunidades, mediante herramientas que permitan verificar de manera objetiva el cumplimiento de las decisiones adoptadas durante el proceso participativo.  </w:t>
      </w:r>
    </w:p>
    <w:p w:rsidRPr="00FC4BE6" w:rsidR="00B61180" w:rsidP="00B61180" w:rsidRDefault="00B61180" w14:paraId="061102EA" w14:textId="77777777">
      <w:pPr>
        <w:jc w:val="both"/>
        <w:rPr>
          <w:rFonts w:ascii="Arial" w:hAnsi="Arial" w:cs="Arial"/>
          <w:sz w:val="24"/>
          <w:szCs w:val="24"/>
        </w:rPr>
      </w:pPr>
      <w:r w:rsidRPr="00FC4BE6">
        <w:rPr>
          <w:rFonts w:ascii="Arial" w:hAnsi="Arial" w:cs="Arial"/>
          <w:sz w:val="24"/>
          <w:szCs w:val="24"/>
        </w:rPr>
        <w:t>La implementación de este eje se desarrollará con observancia de los principios de transparencia, publicidad, máxima divulgación, acceso a la información pública ambiental, participación ciudadana, buena fe, colaboración armónica, protección de datos personales y mejora continua, garantizando un equilibrio entre el derecho de acceso a la información y las reservas expresamente previstas en la Constitución y la ley. </w:t>
      </w:r>
    </w:p>
    <w:p w:rsidRPr="00FC4BE6" w:rsidR="00B61180" w:rsidP="00B61180" w:rsidRDefault="00B61180" w14:paraId="55A96DEC" w14:textId="77777777">
      <w:pPr>
        <w:jc w:val="both"/>
        <w:rPr>
          <w:rFonts w:ascii="Arial" w:hAnsi="Arial" w:cs="Arial"/>
          <w:sz w:val="24"/>
          <w:szCs w:val="24"/>
        </w:rPr>
      </w:pPr>
      <w:r w:rsidRPr="00FC4BE6">
        <w:rPr>
          <w:rFonts w:ascii="Arial" w:hAnsi="Arial" w:cs="Arial"/>
          <w:sz w:val="24"/>
          <w:szCs w:val="24"/>
        </w:rPr>
        <w:t>3.3.1 Muro de Cristal  </w:t>
      </w:r>
    </w:p>
    <w:p w:rsidRPr="00FC4BE6" w:rsidR="00B61180" w:rsidP="00B61180" w:rsidRDefault="00B61180" w14:paraId="5FEAE94C" w14:textId="77777777">
      <w:pPr>
        <w:jc w:val="both"/>
        <w:rPr>
          <w:rFonts w:ascii="Arial" w:hAnsi="Arial" w:cs="Arial"/>
          <w:sz w:val="24"/>
          <w:szCs w:val="24"/>
        </w:rPr>
      </w:pPr>
      <w:r w:rsidRPr="00FC4BE6">
        <w:rPr>
          <w:rFonts w:ascii="Arial" w:hAnsi="Arial" w:cs="Arial"/>
          <w:sz w:val="24"/>
          <w:szCs w:val="24"/>
        </w:rPr>
        <w:t>El Muro de Cristal constituye el principal mecanismo de transparencia y acceso a la información pública ambiental del sistema de fiscalización. Su propósito es facilitar que las comunidades del páramo, las autoridades públicas y los demás actores del Sistema conozcan, de manera clara, comprensible, verificable y territorialmente accesible, el estado general de la implementación de la resolución de delimitación y de las actuaciones institucionales relacionadas con la gestión integral del ecosistema.  </w:t>
      </w:r>
    </w:p>
    <w:p w:rsidRPr="00FC4BE6" w:rsidR="00B61180" w:rsidP="00B61180" w:rsidRDefault="00B61180" w14:paraId="5204FE65" w14:textId="77777777">
      <w:pPr>
        <w:jc w:val="both"/>
        <w:rPr>
          <w:rFonts w:ascii="Arial" w:hAnsi="Arial" w:cs="Arial"/>
          <w:sz w:val="24"/>
          <w:szCs w:val="24"/>
        </w:rPr>
      </w:pPr>
      <w:r w:rsidRPr="00FC4BE6">
        <w:rPr>
          <w:rFonts w:ascii="Arial" w:hAnsi="Arial" w:cs="Arial"/>
          <w:sz w:val="24"/>
          <w:szCs w:val="24"/>
        </w:rPr>
        <w:t xml:space="preserve">En desarrollo de los principios de publicidad, transparencia, acceso a la información pública, participación ciudadana y rendición de cuentas previstos en la Constitución Política, la Ley 1712 de 2014, la Ley 99 de 1993 y el Acuerdo de Escazú, aprobado mediante la Ley 2273 de 2022, el Muro de Cristal constituye un mecanismo de divulgación y apropiación territorial de la información pública ambiental, orientado a </w:t>
      </w:r>
      <w:r w:rsidRPr="00FC4BE6">
        <w:rPr>
          <w:rFonts w:ascii="Arial" w:hAnsi="Arial" w:cs="Arial"/>
          <w:sz w:val="24"/>
          <w:szCs w:val="24"/>
        </w:rPr>
        <w:t>fortalecer el ejercicio del control social y la incidencia real de las comunidades en los procesos de gestión pública asociados a la implementación de la resolución de delimitación.  </w:t>
      </w:r>
    </w:p>
    <w:p w:rsidRPr="00FC4BE6" w:rsidR="00B61180" w:rsidP="00B61180" w:rsidRDefault="00B61180" w14:paraId="24A05736" w14:textId="77777777">
      <w:pPr>
        <w:jc w:val="both"/>
        <w:rPr>
          <w:rFonts w:ascii="Arial" w:hAnsi="Arial" w:cs="Arial"/>
          <w:sz w:val="24"/>
          <w:szCs w:val="24"/>
        </w:rPr>
      </w:pPr>
      <w:r w:rsidRPr="00FC4BE6">
        <w:rPr>
          <w:rFonts w:ascii="Arial" w:hAnsi="Arial" w:cs="Arial"/>
          <w:sz w:val="24"/>
          <w:szCs w:val="24"/>
        </w:rPr>
        <w:t>El Muro de Cristal no constituye un nuevo sistema de información, una plataforma tecnológica independiente ni un repositorio paralelo de datos. Su funcionamiento se fundamenta en la consolidación, organización, sistematización y presentación territorial de la información que las autoridades públicas, las entidades territoriales y los demás actores producen en ejercicio de sus competencias o funciones propias.  </w:t>
      </w:r>
    </w:p>
    <w:p w:rsidRPr="00FC4BE6" w:rsidR="00B61180" w:rsidP="00B61180" w:rsidRDefault="00B61180" w14:paraId="363E8963" w14:textId="77777777">
      <w:pPr>
        <w:jc w:val="both"/>
        <w:rPr>
          <w:rFonts w:ascii="Arial" w:hAnsi="Arial" w:cs="Arial"/>
          <w:sz w:val="24"/>
          <w:szCs w:val="24"/>
        </w:rPr>
      </w:pPr>
      <w:r w:rsidRPr="00FC4BE6">
        <w:rPr>
          <w:rFonts w:ascii="Arial" w:hAnsi="Arial" w:cs="Arial"/>
          <w:sz w:val="24"/>
          <w:szCs w:val="24"/>
        </w:rPr>
        <w:t>En consecuencia, el Sistema de Fiscalización no genera información nueva, sino que integra y hace visible la información pública ya existente, presentándola de manera articulada, accesible y comprensible para las comunidades, respetando en todo momento el régimen jurídico aplicable en materia de acceso a la información pública, protección de datos personales y reserva legal. Con el fin de facilitar su consulta y comprensión, el Muro de Cristal se organiza en dos capas complementarias de información, que responden a la naturaleza de las competencias de los actores permanentes que la producen.  </w:t>
      </w:r>
    </w:p>
    <w:p w:rsidRPr="00FC4BE6" w:rsidR="00B61180" w:rsidP="00B61180" w:rsidRDefault="00B61180" w14:paraId="18295B7B" w14:textId="77777777">
      <w:pPr>
        <w:jc w:val="both"/>
        <w:rPr>
          <w:rFonts w:ascii="Arial" w:hAnsi="Arial" w:cs="Arial"/>
          <w:sz w:val="24"/>
          <w:szCs w:val="24"/>
        </w:rPr>
      </w:pPr>
      <w:r w:rsidRPr="00FC4BE6">
        <w:rPr>
          <w:rFonts w:ascii="Arial" w:hAnsi="Arial" w:cs="Arial"/>
          <w:sz w:val="24"/>
          <w:szCs w:val="24"/>
        </w:rPr>
        <w:t>• Capa 1. Autoridades ambientales: esta capa consolida la información pública relacionada con la gestión ambiental adelantada por las autoridades ambientales competentes, incluyendo, entre otros aspectos, el estado general de las alertas relacionadas con actividades prohibidas o afectaciones al ecosistema, las remisiones institucionales efectuadas, el seguimiento a las actuaciones adelantadas y la información pública disponible sobre la atención de dichas situaciones. La información incorporada en esta capa proviene exclusivamente de los registros, actuaciones y sistemas de información administrados por las respectivas autoridades ambientales en ejercicio de sus competencias legales.  </w:t>
      </w:r>
    </w:p>
    <w:p w:rsidRPr="00FC4BE6" w:rsidR="00B61180" w:rsidP="00B61180" w:rsidRDefault="00B61180" w14:paraId="05A74039" w14:textId="77777777">
      <w:pPr>
        <w:jc w:val="both"/>
        <w:rPr>
          <w:rFonts w:ascii="Arial" w:hAnsi="Arial" w:cs="Arial"/>
          <w:sz w:val="24"/>
          <w:szCs w:val="24"/>
        </w:rPr>
      </w:pPr>
      <w:r w:rsidRPr="00FC4BE6">
        <w:rPr>
          <w:rFonts w:ascii="Arial" w:hAnsi="Arial" w:cs="Arial"/>
          <w:sz w:val="24"/>
          <w:szCs w:val="24"/>
        </w:rPr>
        <w:t>• Capa 2. Entidades territoriales: esta capa consolida la información pública relacionada con la implementación territorial de la resolución de delimitación, incluyendo el avance de los compromisos asumidos por las entidades territoriales, las actuaciones relacionadas con el ordenamiento territorial, la gestión administrativa asociada al uso del suelo, las acciones de articulación institucional y los demás aspectos que cada entidad produzca en ejercicio de sus competencias. La información contenida en esta capa corresponde exclusivamente a aquella generada y administrada por las respectivas entidades territoriales dentro del ámbito de sus funciones constitucionales y legales.  </w:t>
      </w:r>
    </w:p>
    <w:p w:rsidRPr="00FC4BE6" w:rsidR="00B61180" w:rsidP="00B61180" w:rsidRDefault="00B61180" w14:paraId="7C578992" w14:textId="77777777">
      <w:pPr>
        <w:jc w:val="both"/>
        <w:rPr>
          <w:rFonts w:ascii="Arial" w:hAnsi="Arial" w:cs="Arial"/>
          <w:sz w:val="24"/>
          <w:szCs w:val="24"/>
        </w:rPr>
      </w:pPr>
      <w:r w:rsidRPr="00FC4BE6">
        <w:rPr>
          <w:rFonts w:ascii="Arial" w:hAnsi="Arial" w:cs="Arial"/>
          <w:sz w:val="24"/>
          <w:szCs w:val="24"/>
        </w:rPr>
        <w:t xml:space="preserve">Estas dos capas mantienen su autonomía conceptual y funcional por corresponder a ámbitos competenciales distintos. Sin embargo, el sistema de fiscalización las presenta de manera articulada para ofrecer a las comunidades una visión integral del estado de implementación de la resolución de delimitación y de la gestión </w:t>
      </w:r>
      <w:r w:rsidRPr="00FC4BE6">
        <w:rPr>
          <w:rFonts w:ascii="Arial" w:hAnsi="Arial" w:cs="Arial"/>
          <w:sz w:val="24"/>
          <w:szCs w:val="24"/>
        </w:rPr>
        <w:t>institucional en el territorio del páramo. Cada autoridad ambiental y entidad territorial definirá, de conformidad con sus competencias, capacidades institucionales y disponibilidad de información, los contenidos que incorporará al Muro de Cristal, procurando que la información suministrada sea suficiente, comprensible, verificable, actualizada y útil para el ejercicio del control social.  </w:t>
      </w:r>
    </w:p>
    <w:p w:rsidRPr="00FC4BE6" w:rsidR="00B61180" w:rsidP="00B61180" w:rsidRDefault="00B61180" w14:paraId="45458F17" w14:textId="77777777">
      <w:pPr>
        <w:jc w:val="both"/>
        <w:rPr>
          <w:rFonts w:ascii="Arial" w:hAnsi="Arial" w:cs="Arial"/>
          <w:sz w:val="24"/>
          <w:szCs w:val="24"/>
        </w:rPr>
      </w:pPr>
      <w:r w:rsidRPr="00FC4BE6">
        <w:rPr>
          <w:rFonts w:ascii="Arial" w:hAnsi="Arial" w:cs="Arial"/>
          <w:sz w:val="24"/>
          <w:szCs w:val="24"/>
        </w:rPr>
        <w:t>El sistema de fiscalización no establece formatos rígidos ni contenidos uniformes, sino criterios generales de transparencia y accesibilidad que permitan una implementación progresiva y sostenible. Con el propósito de fortalecer la apropiación territorial de la información y facilitar su consulta por parte de las comunidades, las autoridades ambientales y las entidades territoriales, en articulación con las comunidades y con la Instancia de Coordinación, definirán los lugares, medios o mecanismos más adecuados para la divulgación periódica de la información que integra el Muro de Cristal, atendiendo las condiciones geográficas, sociales, culturales, tecnológicas y de conectividad propias de cada sector del complejo de páramos Santurbán Berlín.  </w:t>
      </w:r>
    </w:p>
    <w:p w:rsidRPr="00FC4BE6" w:rsidR="00B61180" w:rsidP="00B61180" w:rsidRDefault="00B61180" w14:paraId="188F324F" w14:textId="77777777">
      <w:pPr>
        <w:jc w:val="both"/>
        <w:rPr>
          <w:rFonts w:ascii="Arial" w:hAnsi="Arial" w:cs="Arial"/>
          <w:sz w:val="24"/>
          <w:szCs w:val="24"/>
        </w:rPr>
      </w:pPr>
      <w:r w:rsidRPr="00FC4BE6">
        <w:rPr>
          <w:rFonts w:ascii="Arial" w:hAnsi="Arial" w:cs="Arial"/>
          <w:sz w:val="24"/>
          <w:szCs w:val="24"/>
        </w:rPr>
        <w:t>La implementación del Muro de Cristal podrá combinar mecanismos físicos, comunitarios y digitales, privilegiando aquellos que garanticen un acceso efectivo a la información por parte de las comunidades, particularmente en los territorios donde las limitaciones de conectividad hagan necesario utilizar medios presenciales o comunitarios de divulgación. </w:t>
      </w:r>
    </w:p>
    <w:p w:rsidRPr="00FC4BE6" w:rsidR="00B61180" w:rsidP="00B61180" w:rsidRDefault="00B61180" w14:paraId="4889C914" w14:textId="77777777">
      <w:pPr>
        <w:jc w:val="both"/>
        <w:rPr>
          <w:rFonts w:ascii="Arial" w:hAnsi="Arial" w:cs="Arial"/>
          <w:sz w:val="24"/>
          <w:szCs w:val="24"/>
        </w:rPr>
      </w:pPr>
      <w:r w:rsidRPr="00FC4BE6">
        <w:rPr>
          <w:rFonts w:ascii="Arial" w:hAnsi="Arial" w:cs="Arial"/>
          <w:sz w:val="24"/>
          <w:szCs w:val="24"/>
        </w:rPr>
        <w:t>3.3.2 Registro de trazabilidad de casos  </w:t>
      </w:r>
    </w:p>
    <w:p w:rsidRPr="00FC4BE6" w:rsidR="00B61180" w:rsidP="00B61180" w:rsidRDefault="00B61180" w14:paraId="68F3EFEF" w14:textId="77777777">
      <w:pPr>
        <w:jc w:val="both"/>
        <w:rPr>
          <w:rFonts w:ascii="Arial" w:hAnsi="Arial" w:cs="Arial"/>
          <w:sz w:val="24"/>
          <w:szCs w:val="24"/>
        </w:rPr>
      </w:pPr>
      <w:r w:rsidRPr="00FC4BE6">
        <w:rPr>
          <w:rFonts w:ascii="Arial" w:hAnsi="Arial" w:cs="Arial"/>
          <w:sz w:val="24"/>
          <w:szCs w:val="24"/>
        </w:rPr>
        <w:t>El sistema de fiscalización contará con un registro de trazabilidad de casos, concebido como un instrumento de articulación, seguimiento y consolidación de la información pública generada por las entidades competentes durante la atención de las alertas y el desarrollo de las actuaciones relacionadas con la implementación de la resolución de delimitación.  </w:t>
      </w:r>
    </w:p>
    <w:p w:rsidRPr="00FC4BE6" w:rsidR="00B61180" w:rsidP="00B61180" w:rsidRDefault="00B61180" w14:paraId="7148A4B3" w14:textId="77777777">
      <w:pPr>
        <w:jc w:val="both"/>
        <w:rPr>
          <w:rFonts w:ascii="Arial" w:hAnsi="Arial" w:cs="Arial"/>
          <w:sz w:val="24"/>
          <w:szCs w:val="24"/>
        </w:rPr>
      </w:pPr>
      <w:r w:rsidRPr="00FC4BE6">
        <w:rPr>
          <w:rFonts w:ascii="Arial" w:hAnsi="Arial" w:cs="Arial"/>
          <w:sz w:val="24"/>
          <w:szCs w:val="24"/>
        </w:rPr>
        <w:t>Este registro no constituye un nuevo sistema de información ni una base de datos independiente, sino un mecanismo que integra y organiza la información oficialmente producida por las autoridades ambientales, las entidades territoriales y los demás actores que intervienen en el Sistema, con el propósito de facilitar el seguimiento institucional, la transparencia y el ejercicio del control social. Para cada caso, el Sistema consolidará la información necesaria para garantizar su trazabilidad, incorporando, entre otros aspectos:  </w:t>
      </w:r>
    </w:p>
    <w:p w:rsidRPr="00FC4BE6" w:rsidR="00B61180" w:rsidP="00B61180" w:rsidRDefault="00B61180" w14:paraId="0AE3510E" w14:textId="77777777">
      <w:pPr>
        <w:jc w:val="both"/>
        <w:rPr>
          <w:rFonts w:ascii="Arial" w:hAnsi="Arial" w:cs="Arial"/>
          <w:sz w:val="24"/>
          <w:szCs w:val="24"/>
        </w:rPr>
      </w:pPr>
      <w:r w:rsidRPr="00FC4BE6">
        <w:rPr>
          <w:rFonts w:ascii="Arial" w:hAnsi="Arial" w:cs="Arial"/>
          <w:sz w:val="24"/>
          <w:szCs w:val="24"/>
        </w:rPr>
        <w:t>• Código o número de identificación del caso: correspondiente al radicado o identificador asignado por la autoridad competente, o al código de seguimiento generado para efectos de articulación del Sistema cuando resulte necesario integrar actuaciones provenientes de diferentes entidades.  </w:t>
      </w:r>
    </w:p>
    <w:p w:rsidRPr="00FC4BE6" w:rsidR="00B61180" w:rsidP="00B61180" w:rsidRDefault="00B61180" w14:paraId="4DA93A76" w14:textId="77777777">
      <w:pPr>
        <w:jc w:val="both"/>
        <w:rPr>
          <w:rFonts w:ascii="Arial" w:hAnsi="Arial" w:cs="Arial"/>
          <w:sz w:val="24"/>
          <w:szCs w:val="24"/>
        </w:rPr>
      </w:pPr>
      <w:r w:rsidRPr="00FC4BE6">
        <w:rPr>
          <w:rFonts w:ascii="Arial" w:hAnsi="Arial" w:cs="Arial"/>
          <w:sz w:val="24"/>
          <w:szCs w:val="24"/>
        </w:rPr>
        <w:t>• Tipo general de la situación reportada: conforme a categorías que faciliten el análisis territorial y la coordinación institucional, sin sustituir las valoraciones técnicas o jurídicas propias de las autoridades competentes.  </w:t>
      </w:r>
    </w:p>
    <w:p w:rsidRPr="00FC4BE6" w:rsidR="00B61180" w:rsidP="00B61180" w:rsidRDefault="00B61180" w14:paraId="7034996E" w14:textId="77777777">
      <w:pPr>
        <w:jc w:val="both"/>
        <w:rPr>
          <w:rFonts w:ascii="Arial" w:hAnsi="Arial" w:cs="Arial"/>
          <w:sz w:val="24"/>
          <w:szCs w:val="24"/>
        </w:rPr>
      </w:pPr>
      <w:r w:rsidRPr="00FC4BE6">
        <w:rPr>
          <w:rFonts w:ascii="Arial" w:hAnsi="Arial" w:cs="Arial"/>
          <w:sz w:val="24"/>
          <w:szCs w:val="24"/>
        </w:rPr>
        <w:t>• Autoridad o autoridades competentes que conocen de la actuación: incluyendo las remisiones efectuadas cuando estas correspondan al desarrollo normal del procedimiento administrativo.  </w:t>
      </w:r>
    </w:p>
    <w:p w:rsidRPr="00FC4BE6" w:rsidR="00B61180" w:rsidP="00B61180" w:rsidRDefault="00B61180" w14:paraId="2CEF05A0" w14:textId="77777777">
      <w:pPr>
        <w:jc w:val="both"/>
        <w:rPr>
          <w:rFonts w:ascii="Arial" w:hAnsi="Arial" w:cs="Arial"/>
          <w:sz w:val="24"/>
          <w:szCs w:val="24"/>
        </w:rPr>
      </w:pPr>
      <w:r w:rsidRPr="00FC4BE6">
        <w:rPr>
          <w:rFonts w:ascii="Arial" w:hAnsi="Arial" w:cs="Arial"/>
          <w:sz w:val="24"/>
          <w:szCs w:val="24"/>
        </w:rPr>
        <w:t>• Estado general de la actuación: con base en la información oficialmente reportada por las entidades responsables, permitiendo conocer el avance del trámite y su evolución durante el proceso de seguimiento.   </w:t>
      </w:r>
    </w:p>
    <w:p w:rsidRPr="00FC4BE6" w:rsidR="00B61180" w:rsidP="00B61180" w:rsidRDefault="00B61180" w14:paraId="68B79DEB" w14:textId="77777777">
      <w:pPr>
        <w:jc w:val="both"/>
        <w:rPr>
          <w:rFonts w:ascii="Arial" w:hAnsi="Arial" w:cs="Arial"/>
          <w:sz w:val="24"/>
          <w:szCs w:val="24"/>
        </w:rPr>
      </w:pPr>
      <w:r w:rsidRPr="00FC4BE6">
        <w:rPr>
          <w:rFonts w:ascii="Arial" w:hAnsi="Arial" w:cs="Arial"/>
          <w:sz w:val="24"/>
          <w:szCs w:val="24"/>
        </w:rPr>
        <w:t>• Actuaciones relevantes para la trazabilidad: cuando la naturaleza del caso y la información disponible permitan registrar hitos generales del trámite que resulten útiles para el seguimiento institucional y el control social. La información incorporada al registro de trazabilidad proviene exclusivamente de los registros, sistemas de información y actuaciones oficialmente producidos por las entidades competentes, así como de la información que las comunidades suministren en ejercicio del control social cuando resulte pertinente para el seguimiento del caso. En consecuencia, el sistema de fiscalización no genera registros paralelos, no modifica la información oficial ni produce información administrativa independiente, limitándose a consolidar y hacer trazable la información disponible.  </w:t>
      </w:r>
    </w:p>
    <w:p w:rsidRPr="00FC4BE6" w:rsidR="00B61180" w:rsidP="00B61180" w:rsidRDefault="00B61180" w14:paraId="6732358F" w14:textId="77777777">
      <w:pPr>
        <w:jc w:val="both"/>
        <w:rPr>
          <w:rFonts w:ascii="Arial" w:hAnsi="Arial" w:cs="Arial"/>
          <w:sz w:val="24"/>
          <w:szCs w:val="24"/>
        </w:rPr>
      </w:pPr>
      <w:r w:rsidRPr="00FC4BE6">
        <w:rPr>
          <w:rFonts w:ascii="Arial" w:hAnsi="Arial" w:cs="Arial"/>
          <w:sz w:val="24"/>
          <w:szCs w:val="24"/>
        </w:rPr>
        <w:t>La información divulgada mediante este registro tendrá un carácter agregado, anonimizado y territorial, de manera que permita a las comunidades conocer el comportamiento general del Sistema y ejercer un control social informado, garantizando simultáneamente la protección de los datos personales, la reserva legal, la confidencialidad de la información sensible y la seguridad de las personas que reportan, de quienes ejerzan actividades de observación comunitaria, control social o defensa del ambiente. La administración y actualización del registro de trazabilidad se realizará con observancia de los principios de legalidad, finalidad, necesidad, calidad de la información, transparencia, acceso a la información pública, protección de datos personales y seguridad de la información, procurando que los datos divulgados sean suficientes para garantizar la rendición de cuentas, sin comprometer derechos fundamentales ni afectar el adecuado desarrollo de las actuaciones administrativas.  </w:t>
      </w:r>
    </w:p>
    <w:p w:rsidRPr="00FC4BE6" w:rsidR="00B61180" w:rsidP="00B61180" w:rsidRDefault="00B61180" w14:paraId="0C3D8C17" w14:textId="77777777">
      <w:pPr>
        <w:jc w:val="both"/>
        <w:rPr>
          <w:rFonts w:ascii="Arial" w:hAnsi="Arial" w:cs="Arial"/>
          <w:sz w:val="24"/>
          <w:szCs w:val="24"/>
        </w:rPr>
      </w:pPr>
      <w:r w:rsidRPr="00FC4BE6">
        <w:rPr>
          <w:rFonts w:ascii="Arial" w:hAnsi="Arial" w:cs="Arial"/>
          <w:sz w:val="24"/>
          <w:szCs w:val="24"/>
        </w:rPr>
        <w:t xml:space="preserve">El registro de trazabilidad constituye uno de los principales instrumentos mediante los cuales el sistema de fiscalización materializa la verificación del cumplimiento de las decisiones adoptadas, permitiendo a las comunidades, a la Instancia de Coordinación y a las entidades participantes realizar seguimiento a la evolución de las actuaciones institucionales, identificar patrones territoriales, fortalecer la </w:t>
      </w:r>
      <w:r w:rsidRPr="00FC4BE6">
        <w:rPr>
          <w:rFonts w:ascii="Arial" w:hAnsi="Arial" w:cs="Arial"/>
          <w:sz w:val="24"/>
          <w:szCs w:val="24"/>
        </w:rPr>
        <w:t>coordinación interinstitucional y consolidar procesos de mejora continua en la gestión integral del páramo. </w:t>
      </w:r>
    </w:p>
    <w:p w:rsidRPr="00FC4BE6" w:rsidR="00B61180" w:rsidP="00B61180" w:rsidRDefault="00B61180" w14:paraId="3033F95E" w14:textId="77777777">
      <w:pPr>
        <w:jc w:val="both"/>
        <w:rPr>
          <w:rFonts w:ascii="Arial" w:hAnsi="Arial" w:cs="Arial"/>
          <w:sz w:val="24"/>
          <w:szCs w:val="24"/>
        </w:rPr>
      </w:pPr>
      <w:r w:rsidRPr="00FC4BE6">
        <w:rPr>
          <w:rFonts w:ascii="Arial" w:hAnsi="Arial" w:cs="Arial"/>
          <w:sz w:val="24"/>
          <w:szCs w:val="24"/>
        </w:rPr>
        <w:t>3.3.3 Reporte periódico  </w:t>
      </w:r>
    </w:p>
    <w:p w:rsidRPr="00FC4BE6" w:rsidR="00B61180" w:rsidP="00B61180" w:rsidRDefault="00B61180" w14:paraId="54F248AA" w14:textId="77777777">
      <w:pPr>
        <w:jc w:val="both"/>
        <w:rPr>
          <w:rFonts w:ascii="Arial" w:hAnsi="Arial" w:cs="Arial"/>
          <w:sz w:val="24"/>
          <w:szCs w:val="24"/>
        </w:rPr>
      </w:pPr>
      <w:r w:rsidRPr="00FC4BE6">
        <w:rPr>
          <w:rFonts w:ascii="Arial" w:hAnsi="Arial" w:cs="Arial"/>
          <w:sz w:val="24"/>
          <w:szCs w:val="24"/>
        </w:rPr>
        <w:t>El sistema de fiscalización consolidará y divulgará periódicamente la información pública generada por los actores que lo integran, mediante reportes dirigidos a la Instancia de Coordinación y puestos a disposición de las comunidades, con el propósito de fortalecer la transparencia, la rendición de cuentas, el control social y la verificación del cumplimiento de las decisiones adoptadas, conforme a la Sentencia T-361 de 2017.  </w:t>
      </w:r>
    </w:p>
    <w:p w:rsidRPr="00FC4BE6" w:rsidR="00B61180" w:rsidP="00B61180" w:rsidRDefault="00B61180" w14:paraId="6DDA8077" w14:textId="77777777">
      <w:pPr>
        <w:jc w:val="both"/>
        <w:rPr>
          <w:rFonts w:ascii="Arial" w:hAnsi="Arial" w:cs="Arial"/>
          <w:sz w:val="24"/>
          <w:szCs w:val="24"/>
        </w:rPr>
      </w:pPr>
      <w:r w:rsidRPr="00FC4BE6">
        <w:rPr>
          <w:rFonts w:ascii="Arial" w:hAnsi="Arial" w:cs="Arial"/>
          <w:sz w:val="24"/>
          <w:szCs w:val="24"/>
        </w:rPr>
        <w:t>Estos reportes constituyen un mecanismo de seguimiento y rendición de cuentas que permite presentar, de manera organizada, comprensible y verificable, el estado general de implementación del sistema de fiscalización, sin sustituir los informes institucionales propios de cada entidad ni crear obligaciones adicionales de reporte distintas de las derivadas de sus competencias. La información consolidada podrá comprender, entre otros aspectos:  </w:t>
      </w:r>
    </w:p>
    <w:p w:rsidRPr="00FC4BE6" w:rsidR="00B61180" w:rsidP="00B61180" w:rsidRDefault="00B61180" w14:paraId="727F45D8" w14:textId="77777777">
      <w:pPr>
        <w:numPr>
          <w:ilvl w:val="0"/>
          <w:numId w:val="77"/>
        </w:numPr>
        <w:jc w:val="both"/>
        <w:rPr>
          <w:rFonts w:ascii="Arial" w:hAnsi="Arial" w:cs="Arial"/>
          <w:sz w:val="24"/>
          <w:szCs w:val="24"/>
        </w:rPr>
      </w:pPr>
      <w:r w:rsidRPr="00FC4BE6">
        <w:rPr>
          <w:rFonts w:ascii="Arial" w:hAnsi="Arial" w:cs="Arial"/>
          <w:sz w:val="24"/>
          <w:szCs w:val="24"/>
        </w:rPr>
        <w:t>El estado general de las alertas radicadas y de las actuaciones adelantadas por las entidades competentes.  </w:t>
      </w:r>
    </w:p>
    <w:p w:rsidRPr="00FC4BE6" w:rsidR="00B61180" w:rsidP="00B61180" w:rsidRDefault="00B61180" w14:paraId="17A76FF9" w14:textId="77777777">
      <w:pPr>
        <w:numPr>
          <w:ilvl w:val="0"/>
          <w:numId w:val="78"/>
        </w:numPr>
        <w:jc w:val="both"/>
        <w:rPr>
          <w:rFonts w:ascii="Arial" w:hAnsi="Arial" w:cs="Arial"/>
          <w:sz w:val="24"/>
          <w:szCs w:val="24"/>
        </w:rPr>
      </w:pPr>
      <w:r w:rsidRPr="00FC4BE6">
        <w:rPr>
          <w:rFonts w:ascii="Arial" w:hAnsi="Arial" w:cs="Arial"/>
          <w:sz w:val="24"/>
          <w:szCs w:val="24"/>
        </w:rPr>
        <w:t>Las remisiones o traslados efectuados entre entidades cuando resulten procedentes.  </w:t>
      </w:r>
    </w:p>
    <w:p w:rsidRPr="00FC4BE6" w:rsidR="00B61180" w:rsidP="00B61180" w:rsidRDefault="00B61180" w14:paraId="0D7F6AB8" w14:textId="77777777">
      <w:pPr>
        <w:numPr>
          <w:ilvl w:val="0"/>
          <w:numId w:val="79"/>
        </w:numPr>
        <w:jc w:val="both"/>
        <w:rPr>
          <w:rFonts w:ascii="Arial" w:hAnsi="Arial" w:cs="Arial"/>
          <w:sz w:val="24"/>
          <w:szCs w:val="24"/>
        </w:rPr>
      </w:pPr>
      <w:r w:rsidRPr="00FC4BE6">
        <w:rPr>
          <w:rFonts w:ascii="Arial" w:hAnsi="Arial" w:cs="Arial"/>
          <w:sz w:val="24"/>
          <w:szCs w:val="24"/>
        </w:rPr>
        <w:t>La información disponible sobre el estado de atención de las actuaciones, incluyendo aquellos casos respecto de los cuales, conforme a la información reportada oficialmente no se evidencian actuaciones reportadas dentro de los términos. </w:t>
      </w:r>
    </w:p>
    <w:p w:rsidRPr="00FC4BE6" w:rsidR="00B61180" w:rsidP="00B61180" w:rsidRDefault="00B61180" w14:paraId="6C2DBE5A" w14:textId="77777777">
      <w:pPr>
        <w:numPr>
          <w:ilvl w:val="0"/>
          <w:numId w:val="80"/>
        </w:numPr>
        <w:jc w:val="both"/>
        <w:rPr>
          <w:rFonts w:ascii="Arial" w:hAnsi="Arial" w:cs="Arial"/>
          <w:sz w:val="24"/>
          <w:szCs w:val="24"/>
        </w:rPr>
      </w:pPr>
      <w:r w:rsidRPr="00FC4BE6">
        <w:rPr>
          <w:rFonts w:ascii="Arial" w:hAnsi="Arial" w:cs="Arial"/>
          <w:sz w:val="24"/>
          <w:szCs w:val="24"/>
        </w:rPr>
        <w:t>Avance en la implementación de los compromisos derivados de la resolución de delimitación y del proceso participativo.  </w:t>
      </w:r>
    </w:p>
    <w:p w:rsidRPr="00FC4BE6" w:rsidR="00B61180" w:rsidP="00B61180" w:rsidRDefault="00B61180" w14:paraId="31EC74AA" w14:textId="77777777">
      <w:pPr>
        <w:numPr>
          <w:ilvl w:val="0"/>
          <w:numId w:val="81"/>
        </w:numPr>
        <w:jc w:val="both"/>
        <w:rPr>
          <w:rFonts w:ascii="Arial" w:hAnsi="Arial" w:cs="Arial"/>
          <w:sz w:val="24"/>
          <w:szCs w:val="24"/>
        </w:rPr>
      </w:pPr>
      <w:r w:rsidRPr="00FC4BE6">
        <w:rPr>
          <w:rFonts w:ascii="Arial" w:hAnsi="Arial" w:cs="Arial"/>
          <w:sz w:val="24"/>
          <w:szCs w:val="24"/>
        </w:rPr>
        <w:t>El estado de gestión de las fuentes del modelo de financiación y, cuando exista información disponible, el avance en la ejecución de los recursos asociados a la gestión integral del páramo.  </w:t>
      </w:r>
    </w:p>
    <w:p w:rsidRPr="00FC4BE6" w:rsidR="00B61180" w:rsidP="00B61180" w:rsidRDefault="00B61180" w14:paraId="74856A1A" w14:textId="19E3F9DF">
      <w:pPr>
        <w:numPr>
          <w:ilvl w:val="0"/>
          <w:numId w:val="82"/>
        </w:numPr>
        <w:jc w:val="both"/>
        <w:rPr>
          <w:rFonts w:ascii="Arial" w:hAnsi="Arial" w:cs="Arial"/>
          <w:sz w:val="24"/>
          <w:szCs w:val="24"/>
        </w:rPr>
      </w:pPr>
      <w:r w:rsidRPr="00FC4BE6">
        <w:rPr>
          <w:rFonts w:ascii="Arial" w:hAnsi="Arial" w:cs="Arial"/>
          <w:sz w:val="24"/>
          <w:szCs w:val="24"/>
        </w:rPr>
        <w:t>Los demás aspectos que la Instancia de Coordinación o las entidades participantes consideren relevantes para fortalecer la transparencia y el seguimiento corresponsable.  </w:t>
      </w:r>
    </w:p>
    <w:p w:rsidRPr="00FC4BE6" w:rsidR="00B61180" w:rsidP="00B61180" w:rsidRDefault="00B61180" w14:paraId="3D445D75" w14:textId="77777777">
      <w:pPr>
        <w:jc w:val="both"/>
        <w:rPr>
          <w:rFonts w:ascii="Arial" w:hAnsi="Arial" w:cs="Arial"/>
          <w:sz w:val="24"/>
          <w:szCs w:val="24"/>
        </w:rPr>
      </w:pPr>
      <w:r w:rsidRPr="00FC4BE6">
        <w:rPr>
          <w:rFonts w:ascii="Arial" w:hAnsi="Arial" w:cs="Arial"/>
          <w:sz w:val="24"/>
          <w:szCs w:val="24"/>
        </w:rPr>
        <w:t xml:space="preserve">El sistema de fiscalización no produce esta información, sino que consolida, organiza y presenta la información oficialmente generada por las autoridades ambientales, las entidades territoriales y los demás actores que integran el Sistema, respetando las </w:t>
      </w:r>
      <w:r w:rsidRPr="00FC4BE6">
        <w:rPr>
          <w:rFonts w:ascii="Arial" w:hAnsi="Arial" w:cs="Arial"/>
          <w:sz w:val="24"/>
          <w:szCs w:val="24"/>
        </w:rPr>
        <w:t>competencias de cada entidad y el régimen jurídico aplicable en materia de acceso a la información pública, protección de datos personales y reserva legal.  </w:t>
      </w:r>
    </w:p>
    <w:p w:rsidRPr="00FC4BE6" w:rsidR="00B61180" w:rsidP="00B61180" w:rsidRDefault="00B61180" w14:paraId="02C22EA5" w14:textId="77777777">
      <w:pPr>
        <w:jc w:val="both"/>
        <w:rPr>
          <w:rFonts w:ascii="Arial" w:hAnsi="Arial" w:cs="Arial"/>
          <w:sz w:val="24"/>
          <w:szCs w:val="24"/>
        </w:rPr>
      </w:pPr>
      <w:r w:rsidRPr="00FC4BE6">
        <w:rPr>
          <w:rFonts w:ascii="Arial" w:hAnsi="Arial" w:cs="Arial"/>
          <w:sz w:val="24"/>
          <w:szCs w:val="24"/>
        </w:rPr>
        <w:t>Con el fin de garantizar la transparencia, el acceso a la información y la trazabilidad del Sistema, los reportes se estructurarán conforme al Protocolo Operativo adoptado por la Instancia de Coordinación y servirán de insumo para la actualización del Muro de Cristal, la rendición de cuentas y el seguimiento a la implementación de la presente resolución. Como referencia operativa, el Sistema contará con tres niveles complementarios de reporte:  </w:t>
      </w:r>
    </w:p>
    <w:p w:rsidRPr="00FC4BE6" w:rsidR="00B61180" w:rsidP="00B61180" w:rsidRDefault="00B61180" w14:paraId="6E841AF3" w14:textId="77777777">
      <w:pPr>
        <w:numPr>
          <w:ilvl w:val="0"/>
          <w:numId w:val="83"/>
        </w:numPr>
        <w:jc w:val="both"/>
        <w:rPr>
          <w:rFonts w:ascii="Arial" w:hAnsi="Arial" w:cs="Arial"/>
          <w:sz w:val="24"/>
          <w:szCs w:val="24"/>
        </w:rPr>
      </w:pPr>
      <w:r w:rsidRPr="00FC4BE6">
        <w:rPr>
          <w:rFonts w:ascii="Arial" w:hAnsi="Arial" w:cs="Arial"/>
          <w:sz w:val="24"/>
          <w:szCs w:val="24"/>
        </w:rPr>
        <w:t>Reporte periódico de gestión, elaborado por los integrantes del sistema conforme a la estructura, contenido y periodicidad definidos en el Protocolo Operativo, el cual servirá de base para la consolidación de la información por parte de la Presidencia de la Instancia de Coordinación.  </w:t>
      </w:r>
    </w:p>
    <w:p w:rsidRPr="00FC4BE6" w:rsidR="00B61180" w:rsidP="00B61180" w:rsidRDefault="00B61180" w14:paraId="5D0AC028" w14:textId="77777777">
      <w:pPr>
        <w:numPr>
          <w:ilvl w:val="0"/>
          <w:numId w:val="84"/>
        </w:numPr>
        <w:jc w:val="both"/>
        <w:rPr>
          <w:rFonts w:ascii="Arial" w:hAnsi="Arial" w:cs="Arial"/>
          <w:sz w:val="24"/>
          <w:szCs w:val="24"/>
        </w:rPr>
      </w:pPr>
      <w:r w:rsidRPr="00FC4BE6">
        <w:rPr>
          <w:rFonts w:ascii="Arial" w:hAnsi="Arial" w:cs="Arial"/>
          <w:sz w:val="24"/>
          <w:szCs w:val="24"/>
        </w:rPr>
        <w:t>Informe de socialización territorial, elaborado en lenguaje claro, accesible y comprensible para las comunidades, con el propósito de facilitar el acceso a la información, fortalecer la participación efectiva y promover el ejercicio del control social.  </w:t>
      </w:r>
    </w:p>
    <w:p w:rsidRPr="00FC4BE6" w:rsidR="00B61180" w:rsidP="00B61180" w:rsidRDefault="00B61180" w14:paraId="7E619612" w14:textId="10E8E046">
      <w:pPr>
        <w:numPr>
          <w:ilvl w:val="0"/>
          <w:numId w:val="85"/>
        </w:numPr>
        <w:jc w:val="both"/>
        <w:rPr>
          <w:rFonts w:ascii="Arial" w:hAnsi="Arial" w:cs="Arial"/>
          <w:sz w:val="24"/>
          <w:szCs w:val="24"/>
        </w:rPr>
      </w:pPr>
      <w:r w:rsidRPr="00FC4BE6">
        <w:rPr>
          <w:rFonts w:ascii="Arial" w:hAnsi="Arial" w:cs="Arial"/>
          <w:sz w:val="24"/>
          <w:szCs w:val="24"/>
        </w:rPr>
        <w:t>Balance anual del sistema de fiscalización, mediante el cual se presenta una evaluación integral del funcionamiento del Sistema y de los principales resultados de su implementación, conforme a lo previsto en el numeral siguiente. La consolidación de la información corresponderá a cada autoridad ambiental y a las entidades participantes, respecto de la información que produzcan en ejercicio de sus competencias. En consecuencia, el presente Sistema no establece un modelo de centralización de la información en cabeza del Ministerio de Ambiente y Desarrollo Sostenible, cuyo papel continuará siendo el de articulación del Sistema Nacional Ambiental (SINA), sin sustituir las responsabilidades propias de las entidades generadoras de la información.  </w:t>
      </w:r>
    </w:p>
    <w:p w:rsidRPr="00FC4BE6" w:rsidR="00B61180" w:rsidP="00B61180" w:rsidRDefault="00B61180" w14:paraId="00C731CC" w14:textId="77777777">
      <w:pPr>
        <w:jc w:val="both"/>
        <w:rPr>
          <w:rFonts w:ascii="Arial" w:hAnsi="Arial" w:cs="Arial"/>
          <w:sz w:val="24"/>
          <w:szCs w:val="24"/>
        </w:rPr>
      </w:pPr>
      <w:r w:rsidRPr="00FC4BE6">
        <w:rPr>
          <w:rFonts w:ascii="Arial" w:hAnsi="Arial" w:cs="Arial"/>
          <w:sz w:val="24"/>
          <w:szCs w:val="24"/>
        </w:rPr>
        <w:t>La divulgación de estos reportes se realizará de manera progresiva, utilizando los mecanismos de comunicación más adecuados para las condiciones del territorio, incluyendo el Muro de Cristal, espacios comunitarios, medios físicos, herramientas pedagógicas, medios digitales y demás estrategias de socialización que faciliten el acceso efectivo a la información por parte de las comunidades, de acuerdo con las capacidades institucionales disponibles y sin generar obligaciones presupuestales adicionales a las previstas en el marco de las competencias de cada entidad.  </w:t>
      </w:r>
    </w:p>
    <w:p w:rsidRPr="00FC4BE6" w:rsidR="00B61180" w:rsidP="00B61180" w:rsidRDefault="00B61180" w14:paraId="74CE047F" w14:textId="77777777">
      <w:pPr>
        <w:jc w:val="both"/>
        <w:rPr>
          <w:rFonts w:ascii="Arial" w:hAnsi="Arial" w:cs="Arial"/>
          <w:sz w:val="24"/>
          <w:szCs w:val="24"/>
        </w:rPr>
      </w:pPr>
      <w:r w:rsidRPr="00FC4BE6">
        <w:rPr>
          <w:rFonts w:ascii="Arial" w:hAnsi="Arial" w:cs="Arial"/>
          <w:sz w:val="24"/>
          <w:szCs w:val="24"/>
        </w:rPr>
        <w:t xml:space="preserve">Los reportes periódicos constituyen, además, un instrumento para la mejora continua del Sistema de Fiscalización, en la medida en que permiten identificar tendencias, dificultades, oportunidades de articulación institucional y necesidades de </w:t>
      </w:r>
      <w:r w:rsidRPr="00FC4BE6">
        <w:rPr>
          <w:rFonts w:ascii="Arial" w:hAnsi="Arial" w:cs="Arial"/>
          <w:sz w:val="24"/>
          <w:szCs w:val="24"/>
        </w:rPr>
        <w:t>fortalecimiento de la gestión pública, suministrando insumos objetivos para la labor de seguimiento de la Instancia de Coordinación y para el ejercicio permanente del control social por parte de las comunidades. </w:t>
      </w:r>
    </w:p>
    <w:p w:rsidRPr="00FC4BE6" w:rsidR="00B61180" w:rsidP="00B61180" w:rsidRDefault="00B61180" w14:paraId="1E8F6E7B" w14:textId="77777777">
      <w:pPr>
        <w:jc w:val="both"/>
        <w:rPr>
          <w:rFonts w:ascii="Arial" w:hAnsi="Arial" w:cs="Arial"/>
          <w:sz w:val="24"/>
          <w:szCs w:val="24"/>
        </w:rPr>
      </w:pPr>
      <w:r w:rsidRPr="00FC4BE6">
        <w:rPr>
          <w:rFonts w:ascii="Arial" w:hAnsi="Arial" w:cs="Arial"/>
          <w:sz w:val="24"/>
          <w:szCs w:val="24"/>
        </w:rPr>
        <w:t>3.3.4 Informe Anual de Gestión del Sistema de Fiscalización.  </w:t>
      </w:r>
    </w:p>
    <w:p w:rsidRPr="00FC4BE6" w:rsidR="00B61180" w:rsidP="00B61180" w:rsidRDefault="00B61180" w14:paraId="7F8E2ABD" w14:textId="77777777">
      <w:pPr>
        <w:jc w:val="both"/>
        <w:rPr>
          <w:rFonts w:ascii="Arial" w:hAnsi="Arial" w:cs="Arial"/>
          <w:sz w:val="24"/>
          <w:szCs w:val="24"/>
        </w:rPr>
      </w:pPr>
      <w:r w:rsidRPr="00FC4BE6">
        <w:rPr>
          <w:rFonts w:ascii="Arial" w:hAnsi="Arial" w:cs="Arial"/>
          <w:sz w:val="24"/>
          <w:szCs w:val="24"/>
        </w:rPr>
        <w:t>El Balance Anual constituye el principal instrumento de evaluación integral y mejora continua del sistema de fiscalización. Su finalidad es consolidar y analizar la información reportada por los integrantes del Sistema durante el período evaluado, con el propósito de identificar avances, fortalezas, dificultades, tendencias y oportunidades de mejora para su funcionamiento. El Balance Anual se construye a partir de la información oficialmente reportada por las autoridades ambientales, las entidades territoriales, las comunidades y los demás actores que integran el Sistema, sin generar información nueva ni sustituir los sistemas de información, los instrumentos de seguimiento o los mecanismos de evaluación propios de las entidades competentes. La consolidación del Balance Anual estará a cargo de la Presidencia de la Instancia de Coordinación, conforme a la información suministrada por los integrantes del Sistema y a los lineamientos definidos en el Protocolo Operativo.  </w:t>
      </w:r>
    </w:p>
    <w:p w:rsidRPr="00FC4BE6" w:rsidR="00B61180" w:rsidP="00B61180" w:rsidRDefault="00B61180" w14:paraId="0C0A8E7F" w14:textId="77777777">
      <w:pPr>
        <w:jc w:val="both"/>
        <w:rPr>
          <w:rFonts w:ascii="Arial" w:hAnsi="Arial" w:cs="Arial"/>
          <w:sz w:val="24"/>
          <w:szCs w:val="24"/>
        </w:rPr>
      </w:pPr>
      <w:r w:rsidRPr="00FC4BE6">
        <w:rPr>
          <w:rFonts w:ascii="Arial" w:hAnsi="Arial" w:cs="Arial"/>
          <w:sz w:val="24"/>
          <w:szCs w:val="24"/>
        </w:rPr>
        <w:t>El Balance será presentado para conocimiento y verificación de la Instancia de Coordinación, la cual podrá formular observaciones, solicitar aclaraciones y recomendar acciones de fortalecimiento para la operación del Sistema, respetando en todo caso las competencias propias de las entidades responsables de la información reportada. Como parte de este ejercicio podrán analizarse, entre otros aspectos:  </w:t>
      </w:r>
    </w:p>
    <w:p w:rsidRPr="00FC4BE6" w:rsidR="00B61180" w:rsidP="00B61180" w:rsidRDefault="00B61180" w14:paraId="0C095F1A" w14:textId="77777777">
      <w:pPr>
        <w:jc w:val="both"/>
        <w:rPr>
          <w:rFonts w:ascii="Arial" w:hAnsi="Arial" w:cs="Arial"/>
          <w:sz w:val="24"/>
          <w:szCs w:val="24"/>
        </w:rPr>
      </w:pPr>
      <w:r w:rsidRPr="00FC4BE6">
        <w:rPr>
          <w:rFonts w:ascii="Arial" w:hAnsi="Arial" w:cs="Arial"/>
          <w:sz w:val="24"/>
          <w:szCs w:val="24"/>
        </w:rPr>
        <w:t>• El funcionamiento general del sistema de fiscalización y de sus mecanismos operativos.  </w:t>
      </w:r>
    </w:p>
    <w:p w:rsidRPr="00FC4BE6" w:rsidR="00B61180" w:rsidP="00B61180" w:rsidRDefault="00B61180" w14:paraId="5E922E6D" w14:textId="77777777">
      <w:pPr>
        <w:jc w:val="both"/>
        <w:rPr>
          <w:rFonts w:ascii="Arial" w:hAnsi="Arial" w:cs="Arial"/>
          <w:sz w:val="24"/>
          <w:szCs w:val="24"/>
        </w:rPr>
      </w:pPr>
      <w:r w:rsidRPr="00FC4BE6">
        <w:rPr>
          <w:rFonts w:ascii="Arial" w:hAnsi="Arial" w:cs="Arial"/>
          <w:sz w:val="24"/>
          <w:szCs w:val="24"/>
        </w:rPr>
        <w:t>• La gestión de las alertas, su trazabilidad y el estado general de las actuaciones institucionales reportadas.  </w:t>
      </w:r>
    </w:p>
    <w:p w:rsidRPr="00FC4BE6" w:rsidR="00B61180" w:rsidP="00B61180" w:rsidRDefault="00B61180" w14:paraId="290BFE77" w14:textId="77777777">
      <w:pPr>
        <w:jc w:val="both"/>
        <w:rPr>
          <w:rFonts w:ascii="Arial" w:hAnsi="Arial" w:cs="Arial"/>
          <w:sz w:val="24"/>
          <w:szCs w:val="24"/>
        </w:rPr>
      </w:pPr>
      <w:r w:rsidRPr="00FC4BE6">
        <w:rPr>
          <w:rFonts w:ascii="Arial" w:hAnsi="Arial" w:cs="Arial"/>
          <w:sz w:val="24"/>
          <w:szCs w:val="24"/>
        </w:rPr>
        <w:t>• La articulación entre las autoridades ambientales, las entidades territoriales, las comunidades y los demás actores del Sistema.  </w:t>
      </w:r>
    </w:p>
    <w:p w:rsidRPr="00FC4BE6" w:rsidR="00B61180" w:rsidP="00B61180" w:rsidRDefault="00B61180" w14:paraId="4C2DE02A" w14:textId="77777777">
      <w:pPr>
        <w:jc w:val="both"/>
        <w:rPr>
          <w:rFonts w:ascii="Arial" w:hAnsi="Arial" w:cs="Arial"/>
          <w:sz w:val="24"/>
          <w:szCs w:val="24"/>
        </w:rPr>
      </w:pPr>
      <w:r w:rsidRPr="00FC4BE6">
        <w:rPr>
          <w:rFonts w:ascii="Arial" w:hAnsi="Arial" w:cs="Arial"/>
          <w:sz w:val="24"/>
          <w:szCs w:val="24"/>
        </w:rPr>
        <w:t>• El funcionamiento de los mecanismos de participación, transparencia, acceso a la información, rendición de cuentas y control social.  </w:t>
      </w:r>
    </w:p>
    <w:p w:rsidRPr="00FC4BE6" w:rsidR="00B61180" w:rsidP="00B61180" w:rsidRDefault="00B61180" w14:paraId="16FD894C" w14:textId="77777777">
      <w:pPr>
        <w:jc w:val="both"/>
        <w:rPr>
          <w:rFonts w:ascii="Arial" w:hAnsi="Arial" w:cs="Arial"/>
          <w:sz w:val="24"/>
          <w:szCs w:val="24"/>
        </w:rPr>
      </w:pPr>
      <w:r w:rsidRPr="00FC4BE6">
        <w:rPr>
          <w:rFonts w:ascii="Arial" w:hAnsi="Arial" w:cs="Arial"/>
          <w:sz w:val="24"/>
          <w:szCs w:val="24"/>
        </w:rPr>
        <w:t>• La operación del Muro de Cristal y de los instrumentos de trazabilidad e información pública.  </w:t>
      </w:r>
    </w:p>
    <w:p w:rsidRPr="00FC4BE6" w:rsidR="00B61180" w:rsidP="00B61180" w:rsidRDefault="00B61180" w14:paraId="1788DA84" w14:textId="77777777">
      <w:pPr>
        <w:jc w:val="both"/>
        <w:rPr>
          <w:rFonts w:ascii="Arial" w:hAnsi="Arial" w:cs="Arial"/>
          <w:sz w:val="24"/>
          <w:szCs w:val="24"/>
        </w:rPr>
      </w:pPr>
      <w:r w:rsidRPr="00FC4BE6">
        <w:rPr>
          <w:rFonts w:ascii="Arial" w:hAnsi="Arial" w:cs="Arial"/>
          <w:sz w:val="24"/>
          <w:szCs w:val="24"/>
        </w:rPr>
        <w:t>• Las recomendaciones formuladas por las comunidades, las entidades participantes y la Instancia de Coordinación.  </w:t>
      </w:r>
    </w:p>
    <w:p w:rsidRPr="00FC4BE6" w:rsidR="00B61180" w:rsidP="00B61180" w:rsidRDefault="00B61180" w14:paraId="7833AC60" w14:textId="77777777">
      <w:pPr>
        <w:jc w:val="both"/>
        <w:rPr>
          <w:rFonts w:ascii="Arial" w:hAnsi="Arial" w:cs="Arial"/>
          <w:sz w:val="24"/>
          <w:szCs w:val="24"/>
        </w:rPr>
      </w:pPr>
      <w:r w:rsidRPr="00FC4BE6">
        <w:rPr>
          <w:rFonts w:ascii="Arial" w:hAnsi="Arial" w:cs="Arial"/>
          <w:sz w:val="24"/>
          <w:szCs w:val="24"/>
        </w:rPr>
        <w:t>• Las oportunidades de mejora para el fortalecimiento progresivo del sistema. El Balance Anual no constituye una auditoría, una evaluación de desempeño institucional, un mecanismo de inspección, vigilancia o control, ni sustituye los instrumentos de planificación, seguimiento y evaluación propios de las entidades competentes. Su finalidad es fortalecer la gobernanza, la coordinación institucional, la transparencia y la mejora continua del Sistema de Fiscalización.  </w:t>
      </w:r>
    </w:p>
    <w:p w:rsidRPr="00FC4BE6" w:rsidR="00B61180" w:rsidP="00B61180" w:rsidRDefault="00B61180" w14:paraId="7168E871" w14:textId="77777777">
      <w:pPr>
        <w:jc w:val="both"/>
        <w:rPr>
          <w:rFonts w:ascii="Arial" w:hAnsi="Arial" w:cs="Arial"/>
          <w:sz w:val="24"/>
          <w:szCs w:val="24"/>
        </w:rPr>
      </w:pPr>
      <w:r w:rsidRPr="00FC4BE6">
        <w:rPr>
          <w:rFonts w:ascii="Arial" w:hAnsi="Arial" w:cs="Arial"/>
          <w:sz w:val="24"/>
          <w:szCs w:val="24"/>
        </w:rPr>
        <w:t>El Balance Anual será divulgado mediante el Muro de Cristal y los demás mecanismos de socialización definidos por la Instancia de Coordinación, con el propósito de fortalecer el acceso a la información, la participación efectiva y el ejercicio del control social. </w:t>
      </w:r>
    </w:p>
    <w:p w:rsidRPr="00FC4BE6" w:rsidR="00B61180" w:rsidP="00B61180" w:rsidRDefault="00B61180" w14:paraId="60AA23C5" w14:textId="77777777">
      <w:pPr>
        <w:jc w:val="both"/>
        <w:rPr>
          <w:rFonts w:ascii="Arial" w:hAnsi="Arial" w:cs="Arial"/>
          <w:b/>
          <w:bCs/>
          <w:sz w:val="24"/>
          <w:szCs w:val="24"/>
        </w:rPr>
      </w:pPr>
      <w:r w:rsidRPr="00FC4BE6">
        <w:rPr>
          <w:rFonts w:ascii="Arial" w:hAnsi="Arial" w:cs="Arial"/>
          <w:b/>
          <w:bCs/>
          <w:sz w:val="24"/>
          <w:szCs w:val="24"/>
        </w:rPr>
        <w:t>3.4 Ciclo de evaluación del sistema  </w:t>
      </w:r>
    </w:p>
    <w:p w:rsidRPr="00FC4BE6" w:rsidR="00B61180" w:rsidP="00B61180" w:rsidRDefault="00B61180" w14:paraId="7A2B2BFB" w14:textId="77777777">
      <w:pPr>
        <w:jc w:val="both"/>
        <w:rPr>
          <w:rFonts w:ascii="Arial" w:hAnsi="Arial" w:cs="Arial"/>
          <w:sz w:val="24"/>
          <w:szCs w:val="24"/>
        </w:rPr>
      </w:pPr>
      <w:r w:rsidRPr="00FC4BE6">
        <w:rPr>
          <w:rFonts w:ascii="Arial" w:hAnsi="Arial" w:cs="Arial"/>
          <w:sz w:val="24"/>
          <w:szCs w:val="24"/>
        </w:rPr>
        <w:t>En desarrollo de lo previsto en el Ineludible 3 y de los principios de mejora continua que orientan el presente sistema de fiscalización, su funcionamiento será objeto de un ciclo permanente de evaluación, concebido como un mecanismo participativo de aprendizaje institucional, fortalecimiento de la gobernanza y verificación del cumplimiento de las decisiones adoptadas, conforme a la Sentencia T-361 de 2017.  </w:t>
      </w:r>
    </w:p>
    <w:p w:rsidRPr="00FC4BE6" w:rsidR="00B61180" w:rsidP="00B61180" w:rsidRDefault="00B61180" w14:paraId="65434035" w14:textId="77777777">
      <w:pPr>
        <w:jc w:val="both"/>
        <w:rPr>
          <w:rFonts w:ascii="Arial" w:hAnsi="Arial" w:cs="Arial"/>
          <w:sz w:val="24"/>
          <w:szCs w:val="24"/>
        </w:rPr>
      </w:pPr>
      <w:r w:rsidRPr="00FC4BE6">
        <w:rPr>
          <w:rFonts w:ascii="Arial" w:hAnsi="Arial" w:cs="Arial"/>
          <w:sz w:val="24"/>
          <w:szCs w:val="24"/>
        </w:rPr>
        <w:t>Este ciclo permite valorar de manera periódica el funcionamiento de los mecanismos operativos del Sistema, identificar fortalezas, dificultades y oportunidades de mejora, así como incorporar progresivamente ajustes derivados de la experiencia acumulada durante su implementación, respetando las competencias de las entidades participantes y la autonomía de las comunidades. La evaluación del Sistema se desarrolla a través de tres momentos complementarios, que responden a los diferentes actores que intervienen en su funcionamiento:  </w:t>
      </w:r>
    </w:p>
    <w:p w:rsidRPr="00FC4BE6" w:rsidR="00B61180" w:rsidP="00B61180" w:rsidRDefault="00B61180" w14:paraId="60030D30" w14:textId="77777777">
      <w:pPr>
        <w:jc w:val="both"/>
        <w:rPr>
          <w:rFonts w:ascii="Arial" w:hAnsi="Arial" w:cs="Arial"/>
          <w:sz w:val="24"/>
          <w:szCs w:val="24"/>
        </w:rPr>
      </w:pPr>
      <w:r w:rsidRPr="00FC4BE6">
        <w:rPr>
          <w:rFonts w:ascii="Arial" w:hAnsi="Arial" w:cs="Arial"/>
          <w:sz w:val="24"/>
          <w:szCs w:val="24"/>
        </w:rPr>
        <w:t>• Evaluación comunitaria: las comunidades campesinas e indígenas, las organizaciones sociales, las Juntas de Acción Comunal, los acueductos comunitarios y veredales y las demás formas de organización presentes en el territorio valorarán, desde su experiencia, el funcionamiento del Sistema de Fiscalización, particularmente en aspectos relacionados con la accesibilidad de los mecanismos de participación, la utilidad de la información disponible, la eficacia de los canales de articulación, la atención institucional de las alertas y la incidencia real de su participación en la implementación de la resolución de delimitación. Esta evaluación se desarrollará en los espacios territoriales de diálogo y seguimiento previstos en el presente documento o en aquellos que las comunidades definan en ejercicio de su autonomía, y sus resultados serán presentados a la Instancia de Coordinación como insumo para el fortalecimiento del Sistema.  </w:t>
      </w:r>
    </w:p>
    <w:p w:rsidRPr="00FC4BE6" w:rsidR="00B61180" w:rsidP="00B61180" w:rsidRDefault="00B61180" w14:paraId="701DE5C4" w14:textId="77777777">
      <w:pPr>
        <w:jc w:val="both"/>
        <w:rPr>
          <w:rFonts w:ascii="Arial" w:hAnsi="Arial" w:cs="Arial"/>
          <w:sz w:val="24"/>
          <w:szCs w:val="24"/>
        </w:rPr>
      </w:pPr>
      <w:r w:rsidRPr="00FC4BE6">
        <w:rPr>
          <w:rFonts w:ascii="Arial" w:hAnsi="Arial" w:cs="Arial"/>
          <w:b/>
          <w:bCs/>
          <w:sz w:val="24"/>
          <w:szCs w:val="24"/>
        </w:rPr>
        <w:t>• </w:t>
      </w:r>
      <w:r w:rsidRPr="00FC4BE6">
        <w:rPr>
          <w:rFonts w:ascii="Arial" w:hAnsi="Arial" w:cs="Arial"/>
          <w:sz w:val="24"/>
          <w:szCs w:val="24"/>
        </w:rPr>
        <w:t xml:space="preserve">Evaluación institucional: las autoridades ambientales, las entidades territoriales y los demás actores institucionales que integran el Sistema evaluarán el cumplimiento </w:t>
      </w:r>
      <w:r w:rsidRPr="00FC4BE6">
        <w:rPr>
          <w:rFonts w:ascii="Arial" w:hAnsi="Arial" w:cs="Arial"/>
          <w:sz w:val="24"/>
          <w:szCs w:val="24"/>
        </w:rPr>
        <w:t>de las funciones que les corresponden dentro del ámbito de sus competencias, identificarán las dificultades encontradas durante la implementación del Sistema y formularán propuestas orientadas a fortalecer los mecanismos de coordinación, participación, transparencia y seguimiento. Los resultados de esta evaluación tendrán carácter público, respetando las reglas sobre acceso a la información y reserva legal, y constituirán un insumo prioritario para la definición de la agenda de trabajo y de las acciones de mejora que adelante la Instancia de Coordinación.  </w:t>
      </w:r>
    </w:p>
    <w:p w:rsidRPr="00FC4BE6" w:rsidR="00B61180" w:rsidP="00B61180" w:rsidRDefault="00B61180" w14:paraId="46048FA8" w14:textId="77777777">
      <w:pPr>
        <w:jc w:val="both"/>
        <w:rPr>
          <w:rFonts w:ascii="Arial" w:hAnsi="Arial" w:cs="Arial"/>
          <w:sz w:val="24"/>
          <w:szCs w:val="24"/>
        </w:rPr>
      </w:pPr>
      <w:r w:rsidRPr="00FC4BE6">
        <w:rPr>
          <w:rFonts w:ascii="Arial" w:hAnsi="Arial" w:cs="Arial"/>
          <w:sz w:val="24"/>
          <w:szCs w:val="24"/>
        </w:rPr>
        <w:t>• Evaluación integral del sistema: la Instancia de Coordinación analizará conjuntamente los resultados de la evaluación comunitaria y de la evaluación institucional, identificará tendencias, oportunidades de mejora y ajustes al funcionamiento del Sistema de Fiscalización, promoviendo acuerdos que fortalezcan progresivamente sus mecanismos de articulación, participación, transparencia, trazabilidad y rendición de cuentas. Esta evaluación integral permitirá verificar la forma en que el Sistema contribuye al cumplimiento de la resolución de delimitación, fortalecer la coordinación entre las entidades participantes y consolidar procesos de mejora continua construidos de manera participativa.  </w:t>
      </w:r>
    </w:p>
    <w:p w:rsidRPr="00FC4BE6" w:rsidR="00B61180" w:rsidP="00B61180" w:rsidRDefault="00B61180" w14:paraId="3807F8D2" w14:textId="77777777">
      <w:pPr>
        <w:jc w:val="both"/>
        <w:rPr>
          <w:rFonts w:ascii="Arial" w:hAnsi="Arial" w:cs="Arial"/>
          <w:sz w:val="24"/>
          <w:szCs w:val="24"/>
        </w:rPr>
      </w:pPr>
      <w:r w:rsidRPr="00FC4BE6">
        <w:rPr>
          <w:rFonts w:ascii="Arial" w:hAnsi="Arial" w:cs="Arial"/>
          <w:sz w:val="24"/>
          <w:szCs w:val="24"/>
        </w:rPr>
        <w:t>El presente ciclo de evaluación no constituye un mecanismo de control administrativo, disciplinario o fiscal, ni sustituye los sistemas institucionales de evaluación, seguimiento o auditoría previstos en el ordenamiento jurídico. Su finalidad es fortalecer el aprendizaje colectivo, la coordinación interinstitucional y el ejercicio de la fiscalización entendida como la verificación del cumplimiento de las decisiones adoptadas, mediante un proceso permanente de participación, seguimiento y mejora continua.  </w:t>
      </w:r>
    </w:p>
    <w:p w:rsidRPr="00FC4BE6" w:rsidR="00B61180" w:rsidP="00B61180" w:rsidRDefault="00B61180" w14:paraId="24E1737F" w14:textId="77777777">
      <w:pPr>
        <w:jc w:val="both"/>
        <w:rPr>
          <w:rFonts w:ascii="Arial" w:hAnsi="Arial" w:cs="Arial"/>
          <w:sz w:val="24"/>
          <w:szCs w:val="24"/>
        </w:rPr>
      </w:pPr>
      <w:r w:rsidRPr="00FC4BE6">
        <w:rPr>
          <w:rFonts w:ascii="Arial" w:hAnsi="Arial" w:cs="Arial"/>
          <w:sz w:val="24"/>
          <w:szCs w:val="24"/>
        </w:rPr>
        <w:t>Así mismo, este ciclo constituye el mecanismo mediante el cual el sistema podrá evolucionar de manera gradual, incorporando progresivamente nuevas capacidades, herramientas y mecanismos de articulación que resulten viables conforme al fortalecimiento institucional, la consolidación de la gobernanza territorial y la disponibilidad de recursos.  </w:t>
      </w:r>
    </w:p>
    <w:p w:rsidRPr="00FC4BE6" w:rsidR="00B61180" w:rsidP="00B61180" w:rsidRDefault="00B61180" w14:paraId="7818957E" w14:textId="77777777">
      <w:pPr>
        <w:jc w:val="both"/>
        <w:rPr>
          <w:rFonts w:ascii="Arial" w:hAnsi="Arial" w:cs="Arial"/>
          <w:sz w:val="24"/>
          <w:szCs w:val="24"/>
        </w:rPr>
      </w:pPr>
      <w:r w:rsidRPr="00FC4BE6">
        <w:rPr>
          <w:rFonts w:ascii="Arial" w:hAnsi="Arial" w:cs="Arial"/>
          <w:sz w:val="24"/>
          <w:szCs w:val="24"/>
        </w:rPr>
        <w:t>En este contexto, los resultados del ciclo de evaluación servirán como referente para fortalecer el funcionamiento del sistema de fiscalización a medida que se consoliden nuevos instrumentos de gestión, se activen las fuentes de financiación identificadas en el modelo de financiación, avance la articulación entre las autoridades ambientales mediante la Comisión Conjunta y entren en operación los instrumentos de planificación y gestión del páramo, particularmente el Plan de Manejo, permitiendo que el sistema evolucione de forma progresiva sin perder coherencia con sus principios fundantes ni con el marco constitucional, legal y jurisprudencial que lo sustenta. </w:t>
      </w:r>
    </w:p>
    <w:p w:rsidR="00B61180" w:rsidP="00B61180" w:rsidRDefault="00B61180" w14:paraId="622BF21D" w14:textId="77777777">
      <w:pPr>
        <w:ind w:left="360"/>
        <w:jc w:val="both"/>
        <w:rPr>
          <w:rFonts w:ascii="Arial" w:hAnsi="Arial" w:cs="Arial"/>
          <w:b/>
          <w:bCs/>
          <w:sz w:val="24"/>
          <w:szCs w:val="24"/>
        </w:rPr>
      </w:pPr>
      <w:r w:rsidRPr="007A76B7">
        <w:rPr>
          <w:rFonts w:ascii="Arial" w:hAnsi="Arial" w:cs="Arial"/>
          <w:b/>
          <w:bCs/>
          <w:sz w:val="24"/>
          <w:szCs w:val="24"/>
        </w:rPr>
        <w:t>CAPÍTULO 4. DIAGNÓSTICO DE CAPACIDADES INSTITUCIONALES</w:t>
      </w:r>
      <w:r>
        <w:rPr>
          <w:rFonts w:ascii="Arial" w:hAnsi="Arial" w:cs="Arial"/>
          <w:b/>
          <w:bCs/>
          <w:sz w:val="24"/>
          <w:szCs w:val="24"/>
        </w:rPr>
        <w:t xml:space="preserve"> </w:t>
      </w:r>
    </w:p>
    <w:p w:rsidR="00B61180" w:rsidP="00B61180" w:rsidRDefault="00B61180" w14:paraId="4AF43FBD" w14:textId="77777777">
      <w:pPr>
        <w:jc w:val="both"/>
        <w:rPr>
          <w:rFonts w:ascii="Arial" w:hAnsi="Arial" w:cs="Arial"/>
          <w:sz w:val="24"/>
          <w:szCs w:val="24"/>
        </w:rPr>
      </w:pPr>
      <w:r w:rsidRPr="1AB6159B">
        <w:rPr>
          <w:rFonts w:ascii="Arial" w:hAnsi="Arial" w:cs="Arial"/>
          <w:sz w:val="24"/>
          <w:szCs w:val="24"/>
        </w:rPr>
        <w:t xml:space="preserve">El presente capítulo consolida el diagnóstico de capacidades institucionales realizado durante la fase de diseño del sistema de fiscalización, con el propósito de identificar las capacidades operativas, los mecanismos de articulación existentes y las oportunidades de fortalecimiento institucional que contribuyan a su implementación progresiva. </w:t>
      </w:r>
    </w:p>
    <w:p w:rsidR="00B61180" w:rsidP="00B61180" w:rsidRDefault="00B61180" w14:paraId="173E2382" w14:textId="77777777">
      <w:pPr>
        <w:jc w:val="both"/>
        <w:rPr>
          <w:rFonts w:ascii="Arial" w:hAnsi="Arial" w:cs="Arial"/>
          <w:sz w:val="24"/>
          <w:szCs w:val="24"/>
        </w:rPr>
      </w:pPr>
      <w:r w:rsidRPr="1AB6159B">
        <w:rPr>
          <w:rFonts w:ascii="Arial" w:hAnsi="Arial" w:cs="Arial"/>
          <w:sz w:val="24"/>
          <w:szCs w:val="24"/>
        </w:rPr>
        <w:t xml:space="preserve">La información aquí presentada constituye una línea base para el desarrollo del sistema y para la identificación de oportunidades de mejora institucional. En ningún caso este diagnóstico modifica, limita o condiciona el ejercicio de las competencias constitucionales y legales de las </w:t>
      </w:r>
      <w:bookmarkStart w:name="_Int_4spElAek" w:id="0"/>
      <w:r w:rsidRPr="1AB6159B">
        <w:rPr>
          <w:rFonts w:ascii="Arial" w:hAnsi="Arial" w:cs="Arial"/>
          <w:sz w:val="24"/>
          <w:szCs w:val="24"/>
        </w:rPr>
        <w:t>autoridades públicas</w:t>
      </w:r>
      <w:bookmarkEnd w:id="0"/>
      <w:r w:rsidRPr="1AB6159B">
        <w:rPr>
          <w:rFonts w:ascii="Arial" w:hAnsi="Arial" w:cs="Arial"/>
          <w:sz w:val="24"/>
          <w:szCs w:val="24"/>
        </w:rPr>
        <w:t xml:space="preserve">, ni releva a las entidades del cumplimiento de las obligaciones que les corresponden por ministerio de la Constitución y la ley. El diagnóstico permitió identificar oportunidades de fortalecimiento institucional relacionadas con la capacidad operativa para atender las dinámicas territoriales del complejo de páramos jurisdicción Santurbán-Berlín, información que constituye un insumo para la mejora continua del sistema de fiscalización. Estas circunstancias no modifican el deber de las autoridades competentes de ejercer las funciones de seguimiento, control y vigilancia que les han sido asignadas por el ordenamiento jurídico. </w:t>
      </w:r>
    </w:p>
    <w:p w:rsidR="00B61180" w:rsidP="00B61180" w:rsidRDefault="00B61180" w14:paraId="45E4F0A4" w14:textId="77777777">
      <w:pPr>
        <w:jc w:val="both"/>
        <w:rPr>
          <w:rFonts w:ascii="Arial" w:hAnsi="Arial" w:cs="Arial"/>
          <w:sz w:val="24"/>
          <w:szCs w:val="24"/>
        </w:rPr>
      </w:pPr>
      <w:r w:rsidRPr="1AB6159B">
        <w:rPr>
          <w:rFonts w:ascii="Arial" w:hAnsi="Arial" w:cs="Arial"/>
          <w:sz w:val="24"/>
          <w:szCs w:val="24"/>
        </w:rPr>
        <w:t>Las capacidades institucionales aquí identificadas constituyen un referente para orientar procesos de articulación, fortalecimiento institucional y mejora continua del Sistema de Fiscalización, sin que las limitaciones operativas eventualmente identificadas puedan interpretarse como una eximente del cumplimiento de las funciones legalmente asignadas a las entidades participantes.</w:t>
      </w:r>
    </w:p>
    <w:p w:rsidR="00B61180" w:rsidP="00B61180" w:rsidRDefault="00B61180" w14:paraId="7AF0A92D" w14:textId="77777777">
      <w:pPr>
        <w:ind w:left="360"/>
        <w:jc w:val="both"/>
        <w:rPr>
          <w:rFonts w:ascii="Arial" w:hAnsi="Arial" w:cs="Arial"/>
          <w:b/>
          <w:bCs/>
          <w:sz w:val="24"/>
          <w:szCs w:val="24"/>
        </w:rPr>
      </w:pPr>
      <w:r w:rsidRPr="1AB6159B">
        <w:rPr>
          <w:rFonts w:ascii="Arial" w:hAnsi="Arial" w:cs="Arial"/>
          <w:b/>
          <w:bCs/>
          <w:sz w:val="24"/>
          <w:szCs w:val="24"/>
        </w:rPr>
        <w:t xml:space="preserve">4.1 Articulación con instrumentos e indicadores existentes </w:t>
      </w:r>
    </w:p>
    <w:p w:rsidR="00B61180" w:rsidP="00B61180" w:rsidRDefault="00B61180" w14:paraId="7D972F3C" w14:textId="77777777">
      <w:pPr>
        <w:jc w:val="both"/>
        <w:rPr>
          <w:rFonts w:ascii="Arial" w:hAnsi="Arial" w:cs="Arial"/>
          <w:sz w:val="24"/>
          <w:szCs w:val="24"/>
        </w:rPr>
      </w:pPr>
      <w:r w:rsidRPr="1AB6159B">
        <w:rPr>
          <w:rFonts w:ascii="Arial" w:hAnsi="Arial" w:cs="Arial"/>
          <w:sz w:val="24"/>
          <w:szCs w:val="24"/>
        </w:rPr>
        <w:t xml:space="preserve">El diseño del sistema de fiscalización parte del reconocimiento de que las autoridades ambientales y las demás entidades públicas con competencias sobre el territorio del páramo cuentan con instrumentos de planificación, seguimiento, evaluación y reporte que orientan el ejercicio de sus funciones y generan información relevante para la implementación del sistema. </w:t>
      </w:r>
    </w:p>
    <w:p w:rsidR="00B61180" w:rsidP="00B61180" w:rsidRDefault="00B61180" w14:paraId="2BFC15CC" w14:textId="77777777">
      <w:pPr>
        <w:jc w:val="both"/>
        <w:rPr>
          <w:rFonts w:ascii="Arial" w:hAnsi="Arial" w:cs="Arial"/>
          <w:sz w:val="24"/>
          <w:szCs w:val="24"/>
        </w:rPr>
      </w:pPr>
      <w:r w:rsidRPr="1AB6159B">
        <w:rPr>
          <w:rFonts w:ascii="Arial" w:hAnsi="Arial" w:cs="Arial"/>
          <w:sz w:val="24"/>
          <w:szCs w:val="24"/>
        </w:rPr>
        <w:t xml:space="preserve">Entre dichos instrumentos se encuentran, entre otros, los Planes de Gestión Ambiental Regional (PGAR), los Planes de Acción Institucional (PAI) de las corporaciones autónomas regionales, los indicadores mínimos de gestión adoptados mediante la Resolución 667 de 2016 y los sistemas institucionales de reporte al Ministerio de Ambiente y Desarrollo Sostenible, así como los demás instrumentos de planificación, seguimiento y gestión propios de cada entidad. En este contexto, el Sistema de Fiscalización no crea un esquema paralelo de planeación, seguimiento, evaluación o reporte, ni sustituye los instrumentos institucionales existentes. </w:t>
      </w:r>
    </w:p>
    <w:p w:rsidR="00B61180" w:rsidP="00B61180" w:rsidRDefault="00B61180" w14:paraId="00DCF679" w14:textId="77777777">
      <w:pPr>
        <w:jc w:val="both"/>
        <w:rPr>
          <w:rFonts w:ascii="Arial" w:hAnsi="Arial" w:cs="Arial"/>
          <w:sz w:val="24"/>
          <w:szCs w:val="24"/>
        </w:rPr>
      </w:pPr>
      <w:r w:rsidRPr="1AB6159B">
        <w:rPr>
          <w:rFonts w:ascii="Arial" w:hAnsi="Arial" w:cs="Arial"/>
          <w:sz w:val="24"/>
          <w:szCs w:val="24"/>
        </w:rPr>
        <w:t xml:space="preserve">Por el contrario, se articula con ellos para consolidar, organizar, hacer trazable y presentar de manera comprensible la información que las entidades ya producen en ejercicio de sus competencias constitucionales y legales, fortaleciendo la coordinación interinstitucional, la transparencia y el ejercicio del control social. Esta articulación responde a los principios de coordinación, eficiencia, colaboración armónica y racionalidad administrativa, procurando aprovechar las capacidades institucionales existentes y evitando la duplicidad de procedimientos, indicadores o sistemas de información. La existencia, disponibilidad o nivel de desarrollo de estos instrumentos institucionales no modifica ni condiciona el ejercicio de las competencias legales de las autoridades públicas, ni releva a las entidades del cumplimiento de las funciones que les han sido asignadas por la Constitución y la ley. </w:t>
      </w:r>
    </w:p>
    <w:p w:rsidR="00B61180" w:rsidP="00B61180" w:rsidRDefault="00B61180" w14:paraId="37E83EBF" w14:textId="77777777">
      <w:pPr>
        <w:jc w:val="both"/>
        <w:rPr>
          <w:rFonts w:ascii="Arial" w:hAnsi="Arial" w:cs="Arial"/>
          <w:sz w:val="24"/>
          <w:szCs w:val="24"/>
        </w:rPr>
      </w:pPr>
      <w:r w:rsidRPr="1AB6159B">
        <w:rPr>
          <w:rFonts w:ascii="Arial" w:hAnsi="Arial" w:cs="Arial"/>
          <w:sz w:val="24"/>
          <w:szCs w:val="24"/>
        </w:rPr>
        <w:t>En consecuencia, el presente diagnóstico reconoce las capacidades institucionales existentes como un insumo para fortalecer la implementación del sistema de fiscalización, sin que ello pueda interpretarse como una limitación al ejercicio de las obligaciones legales de las entidades competentes. En este sentido, la articulación con los instrumentos existentes constituye uno de los fundamentos operativos del sistema de fiscalización, en la medida en que permite fortalecer la implementación del modelo de gobernanza sin crear cargas administrativas innecesarias, preservando la autonomía técnica y funcional de cada entidad y facilitando la mejora continua del Sistema a partir de la información que estas producen en el ejercicio de sus funciones.</w:t>
      </w:r>
    </w:p>
    <w:p w:rsidR="00B61180" w:rsidP="00B61180" w:rsidRDefault="00B61180" w14:paraId="63BC0778" w14:textId="77777777">
      <w:pPr>
        <w:ind w:left="360"/>
        <w:jc w:val="both"/>
        <w:rPr>
          <w:rFonts w:ascii="Arial" w:hAnsi="Arial" w:cs="Arial"/>
          <w:b/>
          <w:bCs/>
          <w:sz w:val="24"/>
          <w:szCs w:val="24"/>
        </w:rPr>
      </w:pPr>
      <w:r w:rsidRPr="1AB6159B">
        <w:rPr>
          <w:rFonts w:ascii="Arial" w:hAnsi="Arial" w:cs="Arial"/>
          <w:b/>
          <w:bCs/>
          <w:sz w:val="24"/>
          <w:szCs w:val="24"/>
        </w:rPr>
        <w:t xml:space="preserve">4.2 Espacios de articulación territorial ya existentes </w:t>
      </w:r>
    </w:p>
    <w:p w:rsidR="00B61180" w:rsidP="00B61180" w:rsidRDefault="00B61180" w14:paraId="3F7762FB" w14:textId="77777777">
      <w:pPr>
        <w:jc w:val="both"/>
        <w:rPr>
          <w:rFonts w:ascii="Arial" w:hAnsi="Arial" w:cs="Arial"/>
          <w:sz w:val="24"/>
          <w:szCs w:val="24"/>
        </w:rPr>
      </w:pPr>
      <w:r w:rsidRPr="1AB6159B">
        <w:rPr>
          <w:rFonts w:ascii="Arial" w:hAnsi="Arial" w:cs="Arial"/>
          <w:sz w:val="24"/>
          <w:szCs w:val="24"/>
        </w:rPr>
        <w:t xml:space="preserve">El diagnóstico permitió identificar diversos espacios de articulación entre autoridades ambientales, entidades públicas, comunidades y organizaciones sociales que actualmente funcionan en el territorio del complejo de páramos jurisdicción Santurbán-Berlín. Estos escenarios constituyen expresiones de gobernanza territorial ya consolidadas y representan un importante soporte para la implementación del sistema de fiscalización, en la medida en que facilitan el diálogo institucional, la participación comunitaria, la coordinación interinstitucional y el intercambio permanente de información. </w:t>
      </w:r>
    </w:p>
    <w:p w:rsidR="00B61180" w:rsidP="00B61180" w:rsidRDefault="00B61180" w14:paraId="621D0F99" w14:textId="77777777">
      <w:pPr>
        <w:jc w:val="both"/>
        <w:rPr>
          <w:rFonts w:ascii="Arial" w:hAnsi="Arial" w:cs="Arial"/>
          <w:sz w:val="24"/>
          <w:szCs w:val="24"/>
        </w:rPr>
      </w:pPr>
      <w:r w:rsidRPr="1AB6159B">
        <w:rPr>
          <w:rFonts w:ascii="Arial" w:hAnsi="Arial" w:cs="Arial"/>
          <w:sz w:val="24"/>
          <w:szCs w:val="24"/>
        </w:rPr>
        <w:t xml:space="preserve">La identificación de estos espacios evidencia que los mecanismos de participación y articulación territorial no parten de cero, sino que se sustentan en experiencias organizativas e institucionales que han demostrado continuidad y capacidad de articulación en el territorio. En consecuencia, el sistema de fiscalización reconoce, respeta y se articula con estas instancias, sin sustituirlas, modificarlas o interferir en su funcionamiento, promoviendo la complementariedad entre ellas y los mecanismos previstos en el presente documento. </w:t>
      </w:r>
    </w:p>
    <w:p w:rsidR="00B61180" w:rsidP="00B61180" w:rsidRDefault="00B61180" w14:paraId="0FEC4750" w14:textId="77777777">
      <w:pPr>
        <w:jc w:val="both"/>
        <w:rPr>
          <w:rFonts w:ascii="Arial" w:hAnsi="Arial" w:cs="Arial"/>
          <w:sz w:val="24"/>
          <w:szCs w:val="24"/>
        </w:rPr>
      </w:pPr>
      <w:r w:rsidRPr="1AB6159B">
        <w:rPr>
          <w:rFonts w:ascii="Arial" w:hAnsi="Arial" w:cs="Arial"/>
          <w:sz w:val="24"/>
          <w:szCs w:val="24"/>
        </w:rPr>
        <w:t xml:space="preserve">La presente relación corresponde a la información suministrada durante el proceso de diagnóstico y no tiene carácter taxativo, por lo que no excluye otros espacios de articulación actualmente existentes ni aquellos que puedan consolidarse o fortalecerse durante la implementación del sistema de fiscalización. Con base en la información recopilada, se identificaron, entre otros, los siguientes espacios: </w:t>
      </w:r>
    </w:p>
    <w:p w:rsidRPr="00483B22" w:rsidR="00B61180" w:rsidP="00B61180" w:rsidRDefault="00B61180" w14:paraId="76787CA9" w14:textId="77777777">
      <w:pPr>
        <w:ind w:left="360"/>
        <w:jc w:val="both"/>
        <w:rPr>
          <w:rFonts w:ascii="Arial" w:hAnsi="Arial" w:cs="Arial"/>
          <w:b/>
          <w:bCs/>
          <w:sz w:val="24"/>
          <w:szCs w:val="24"/>
        </w:rPr>
      </w:pPr>
      <w:r w:rsidRPr="00483B22">
        <w:rPr>
          <w:rFonts w:ascii="Arial" w:hAnsi="Arial" w:cs="Arial"/>
          <w:b/>
          <w:bCs/>
          <w:sz w:val="24"/>
          <w:szCs w:val="24"/>
        </w:rPr>
        <w:t>1. Nodos Territoriales Veredales y Municipales</w:t>
      </w:r>
    </w:p>
    <w:p w:rsidRPr="00483B22" w:rsidR="00B61180" w:rsidP="00B61180" w:rsidRDefault="00B61180" w14:paraId="07534CDE" w14:textId="77777777">
      <w:pPr>
        <w:jc w:val="both"/>
        <w:rPr>
          <w:rFonts w:ascii="Arial" w:hAnsi="Arial" w:cs="Arial"/>
          <w:sz w:val="24"/>
          <w:szCs w:val="24"/>
        </w:rPr>
      </w:pPr>
      <w:r w:rsidRPr="1AB6159B">
        <w:rPr>
          <w:rFonts w:ascii="Arial" w:hAnsi="Arial" w:cs="Arial"/>
          <w:sz w:val="24"/>
          <w:szCs w:val="24"/>
        </w:rPr>
        <w:t>En lugar de crear nuevas divisiones geográficas, el Ministerio de Ambiente dividió las fases de concertación respetando los nodos y linderos veredales tradicionales. Esto ha permitido avanzar de manera histórica municipio por municipio (logrando acuerdos definitivos en localidades como Pamplonita y La Esperanza en Norte de Santander). Las escuelas rurales y casetas comunales preexistentes funcionan como los puntos físicos de encuentro para el cruce de cartografía social.</w:t>
      </w:r>
    </w:p>
    <w:p w:rsidRPr="00483B22" w:rsidR="00B61180" w:rsidP="00B61180" w:rsidRDefault="00B61180" w14:paraId="21B8A2AA" w14:textId="77777777">
      <w:pPr>
        <w:ind w:left="360"/>
        <w:jc w:val="both"/>
        <w:rPr>
          <w:rFonts w:ascii="Arial" w:hAnsi="Arial" w:cs="Arial"/>
          <w:b/>
          <w:bCs/>
          <w:sz w:val="24"/>
          <w:szCs w:val="24"/>
        </w:rPr>
      </w:pPr>
      <w:r w:rsidRPr="00483B22">
        <w:rPr>
          <w:rFonts w:ascii="Arial" w:hAnsi="Arial" w:cs="Arial"/>
          <w:b/>
          <w:bCs/>
          <w:sz w:val="24"/>
          <w:szCs w:val="24"/>
        </w:rPr>
        <w:t>2. Consejos Municipales de Desarrollo Rural (CMDR)</w:t>
      </w:r>
    </w:p>
    <w:p w:rsidRPr="00483B22" w:rsidR="00B61180" w:rsidP="00B61180" w:rsidRDefault="00B61180" w14:paraId="43450835" w14:textId="77777777">
      <w:pPr>
        <w:jc w:val="both"/>
        <w:rPr>
          <w:rFonts w:ascii="Arial" w:hAnsi="Arial" w:cs="Arial"/>
          <w:sz w:val="24"/>
          <w:szCs w:val="24"/>
        </w:rPr>
      </w:pPr>
      <w:r w:rsidRPr="1AB6159B">
        <w:rPr>
          <w:rFonts w:ascii="Arial" w:hAnsi="Arial" w:cs="Arial"/>
          <w:sz w:val="24"/>
          <w:szCs w:val="24"/>
        </w:rPr>
        <w:t>Los CMDR son espacios institucionales creados por ley que ya operaban en los 30 municipios del complejo. Al congregarse legalmente a los alcaldes, concejales y representantes de las asociaciones campesinas locales, han servido como la plataforma técnica y jurídica para canalizar las propuestas de reconversión productiva y definir las áreas de uso sostenible del suelo rural sin vulnerar los derechos de los habitantes tradicionales.</w:t>
      </w:r>
    </w:p>
    <w:p w:rsidRPr="00483B22" w:rsidR="00B61180" w:rsidP="00B61180" w:rsidRDefault="00B61180" w14:paraId="4A58B8CA" w14:textId="77777777">
      <w:pPr>
        <w:ind w:left="360"/>
        <w:jc w:val="both"/>
        <w:rPr>
          <w:rFonts w:ascii="Arial" w:hAnsi="Arial" w:cs="Arial"/>
          <w:b/>
          <w:bCs/>
          <w:sz w:val="24"/>
          <w:szCs w:val="24"/>
        </w:rPr>
      </w:pPr>
      <w:r w:rsidRPr="00483B22">
        <w:rPr>
          <w:rFonts w:ascii="Arial" w:hAnsi="Arial" w:cs="Arial"/>
          <w:b/>
          <w:bCs/>
          <w:sz w:val="24"/>
          <w:szCs w:val="24"/>
        </w:rPr>
        <w:t>3. Las Juntas de Acción Comunal (JAC) y sus Nodos de Cuenca</w:t>
      </w:r>
    </w:p>
    <w:p w:rsidRPr="00483B22" w:rsidR="00B61180" w:rsidP="00B61180" w:rsidRDefault="00B61180" w14:paraId="48B5E790" w14:textId="77777777">
      <w:pPr>
        <w:jc w:val="both"/>
        <w:rPr>
          <w:rFonts w:ascii="Arial" w:hAnsi="Arial" w:cs="Arial"/>
          <w:sz w:val="24"/>
          <w:szCs w:val="24"/>
        </w:rPr>
      </w:pPr>
      <w:r w:rsidRPr="1AB6159B">
        <w:rPr>
          <w:rFonts w:ascii="Arial" w:hAnsi="Arial" w:cs="Arial"/>
          <w:sz w:val="24"/>
          <w:szCs w:val="24"/>
        </w:rPr>
        <w:t xml:space="preserve">Las JAC rurales son las organizaciones comunitarias con mayor arraigo en el territorio. Durante la delimitación, estas estructuras preexistentes se han integrado en nodos alrededor de las microcuencas hídricas. Su conocimiento histórico de las fuentes de agua ha facilitado el diseño de la "línea azul" (límite de coexistencia) y ha servido para consolidar los esquemas asociativos de </w:t>
      </w:r>
      <w:hyperlink r:id="rId18">
        <w:r w:rsidRPr="1AB6159B">
          <w:rPr>
            <w:rStyle w:val="Hipervnculo"/>
            <w:rFonts w:ascii="Arial" w:hAnsi="Arial" w:cs="Arial"/>
            <w:sz w:val="24"/>
            <w:szCs w:val="24"/>
          </w:rPr>
          <w:t>Pago por Servicios Ambientales (PSA)</w:t>
        </w:r>
      </w:hyperlink>
      <w:r w:rsidRPr="1AB6159B">
        <w:rPr>
          <w:rFonts w:ascii="Arial" w:hAnsi="Arial" w:cs="Arial"/>
          <w:sz w:val="24"/>
          <w:szCs w:val="24"/>
        </w:rPr>
        <w:t xml:space="preserve"> .</w:t>
      </w:r>
    </w:p>
    <w:p w:rsidRPr="00483B22" w:rsidR="00B61180" w:rsidP="00B61180" w:rsidRDefault="00B61180" w14:paraId="05815269" w14:textId="77777777">
      <w:pPr>
        <w:ind w:left="360"/>
        <w:jc w:val="both"/>
        <w:rPr>
          <w:rFonts w:ascii="Arial" w:hAnsi="Arial" w:cs="Arial"/>
          <w:b/>
          <w:bCs/>
          <w:sz w:val="24"/>
          <w:szCs w:val="24"/>
        </w:rPr>
      </w:pPr>
      <w:r w:rsidRPr="00483B22">
        <w:rPr>
          <w:rFonts w:ascii="Arial" w:hAnsi="Arial" w:cs="Arial"/>
          <w:b/>
          <w:bCs/>
          <w:sz w:val="24"/>
          <w:szCs w:val="24"/>
        </w:rPr>
        <w:t>4. Instancias de Gobernanza de Áreas Protegidas Preexistentes</w:t>
      </w:r>
    </w:p>
    <w:p w:rsidRPr="00483B22" w:rsidR="00B61180" w:rsidP="00B61180" w:rsidRDefault="00B61180" w14:paraId="4D434A7B" w14:textId="77777777">
      <w:pPr>
        <w:jc w:val="both"/>
        <w:rPr>
          <w:rFonts w:ascii="Arial" w:hAnsi="Arial" w:cs="Arial"/>
          <w:sz w:val="24"/>
          <w:szCs w:val="24"/>
        </w:rPr>
      </w:pPr>
      <w:r w:rsidRPr="1AB6159B">
        <w:rPr>
          <w:rFonts w:ascii="Arial" w:hAnsi="Arial" w:cs="Arial"/>
          <w:sz w:val="24"/>
          <w:szCs w:val="24"/>
        </w:rPr>
        <w:t>El complejo ya contaba con figuras de ordenamiento ambiental previo cuyos comités de gestión sirvieron de base para articular a las autoridades del territorio:</w:t>
      </w:r>
    </w:p>
    <w:p w:rsidRPr="00483B22" w:rsidR="00B61180" w:rsidP="00B61180" w:rsidRDefault="00B61180" w14:paraId="298D1D56" w14:textId="77777777">
      <w:pPr>
        <w:numPr>
          <w:ilvl w:val="0"/>
          <w:numId w:val="45"/>
        </w:numPr>
        <w:jc w:val="both"/>
        <w:rPr>
          <w:rFonts w:ascii="Arial" w:hAnsi="Arial" w:cs="Arial"/>
          <w:sz w:val="24"/>
          <w:szCs w:val="24"/>
        </w:rPr>
      </w:pPr>
      <w:r w:rsidRPr="00483B22">
        <w:rPr>
          <w:rFonts w:ascii="Arial" w:hAnsi="Arial" w:cs="Arial"/>
          <w:sz w:val="24"/>
          <w:szCs w:val="24"/>
        </w:rPr>
        <w:t xml:space="preserve">Comités Técnicos del DMI Páramo de Berlín: Espacio de coordinación interinstitucional donde las corporaciones autónomas ( </w:t>
      </w:r>
      <w:hyperlink w:tgtFrame="_blank" w:history="1" r:id="rId19">
        <w:r w:rsidRPr="00483B22">
          <w:rPr>
            <w:rStyle w:val="Hipervnculo"/>
            <w:rFonts w:ascii="Arial" w:hAnsi="Arial" w:cs="Arial"/>
            <w:sz w:val="24"/>
            <w:szCs w:val="24"/>
          </w:rPr>
          <w:t>CDMB</w:t>
        </w:r>
      </w:hyperlink>
      <w:r w:rsidRPr="00483B22">
        <w:rPr>
          <w:rFonts w:ascii="Arial" w:hAnsi="Arial" w:cs="Arial"/>
          <w:sz w:val="24"/>
          <w:szCs w:val="24"/>
        </w:rPr>
        <w:t xml:space="preserve"> y Corponor) ya dialogaban con los grandes productores de cebolla y papa de la alta montaña.</w:t>
      </w:r>
    </w:p>
    <w:p w:rsidRPr="00483B22" w:rsidR="00B61180" w:rsidP="00B61180" w:rsidRDefault="00B61180" w14:paraId="25AB3F1D" w14:textId="77777777">
      <w:pPr>
        <w:numPr>
          <w:ilvl w:val="0"/>
          <w:numId w:val="45"/>
        </w:numPr>
        <w:jc w:val="both"/>
        <w:rPr>
          <w:rFonts w:ascii="Arial" w:hAnsi="Arial" w:cs="Arial"/>
          <w:sz w:val="24"/>
          <w:szCs w:val="24"/>
        </w:rPr>
      </w:pPr>
      <w:r w:rsidRPr="00483B22">
        <w:rPr>
          <w:rFonts w:ascii="Arial" w:hAnsi="Arial" w:cs="Arial"/>
          <w:sz w:val="24"/>
          <w:szCs w:val="24"/>
        </w:rPr>
        <w:t xml:space="preserve">Planes de Manejo de Parques Naturales Regionales (PNR): Los comités de los PNR como Sisavita o Santurbán-Salazar aportaron la información biótica </w:t>
      </w:r>
      <w:r w:rsidRPr="00483B22">
        <w:rPr>
          <w:rFonts w:ascii="Arial" w:hAnsi="Arial" w:cs="Arial"/>
          <w:sz w:val="24"/>
          <w:szCs w:val="24"/>
        </w:rPr>
        <w:t>y los censos socioeconómicos locales que sirvieron como insumo científico inicial para evitar demoras en el proceso consultivo.</w:t>
      </w:r>
    </w:p>
    <w:p w:rsidRPr="00483B22" w:rsidR="00B61180" w:rsidP="00B61180" w:rsidRDefault="00B61180" w14:paraId="35A11154" w14:textId="77777777">
      <w:pPr>
        <w:ind w:left="360"/>
        <w:jc w:val="both"/>
        <w:rPr>
          <w:rFonts w:ascii="Arial" w:hAnsi="Arial" w:cs="Arial"/>
          <w:b/>
          <w:bCs/>
          <w:sz w:val="24"/>
          <w:szCs w:val="24"/>
        </w:rPr>
      </w:pPr>
      <w:r w:rsidRPr="00483B22">
        <w:rPr>
          <w:rFonts w:ascii="Arial" w:hAnsi="Arial" w:cs="Arial"/>
          <w:b/>
          <w:bCs/>
          <w:sz w:val="24"/>
          <w:szCs w:val="24"/>
        </w:rPr>
        <w:t>5. Mesas Técnicas de las Asociaciones Gremiales Ancestrales</w:t>
      </w:r>
    </w:p>
    <w:p w:rsidRPr="00483B22" w:rsidR="00B61180" w:rsidP="00B61180" w:rsidRDefault="00B61180" w14:paraId="7F229C87" w14:textId="77777777">
      <w:pPr>
        <w:jc w:val="both"/>
        <w:rPr>
          <w:rFonts w:ascii="Arial" w:hAnsi="Arial" w:cs="Arial"/>
          <w:sz w:val="24"/>
          <w:szCs w:val="24"/>
        </w:rPr>
      </w:pPr>
      <w:r w:rsidRPr="1AB6159B">
        <w:rPr>
          <w:rFonts w:ascii="Arial" w:hAnsi="Arial" w:cs="Arial"/>
          <w:sz w:val="24"/>
          <w:szCs w:val="24"/>
        </w:rPr>
        <w:t>Organizaciones con personería jurídica e historia en la región, como la Asociación de Municipios del Páramo de Santurbán (Asomunicipios) y Asomineros Vetas, ya contaban con asambleas y comités de delegados establecidos. El Gobierno Nacional aprobó estas instancias gremiales preexistentes para instalar las mesas sectoriales diferenciadas, evitando la dispersión de las propuestas comunitarias.</w:t>
      </w:r>
    </w:p>
    <w:p w:rsidR="00B61180" w:rsidP="00B61180" w:rsidRDefault="00B61180" w14:paraId="6DDBDF27" w14:textId="77777777">
      <w:pPr>
        <w:jc w:val="both"/>
        <w:rPr>
          <w:rFonts w:ascii="Arial" w:hAnsi="Arial" w:cs="Arial"/>
          <w:sz w:val="24"/>
          <w:szCs w:val="24"/>
        </w:rPr>
      </w:pPr>
      <w:r w:rsidRPr="1AB6159B">
        <w:rPr>
          <w:rFonts w:ascii="Arial" w:hAnsi="Arial" w:cs="Arial"/>
          <w:sz w:val="24"/>
          <w:szCs w:val="24"/>
        </w:rPr>
        <w:t xml:space="preserve">Estos espacios constituyen un referente para el desarrollo de los mecanismos de participación, transparencia, rendición de cuentas y seguimiento previstos en el sistema de fiscalización. No sustituyen la Instancia de Coordinación ni los demás mecanismos previstos en el presente documento, pero sí representan escenarios idóneos para fortalecer la articulación institucional, facilitar la circulación de información, promover el diálogo permanente con las comunidades y consolidar procesos de participación con incidencia real, conforme a los principios desarrollados por la Sentencia T-361 de 2017. </w:t>
      </w:r>
    </w:p>
    <w:p w:rsidR="00B61180" w:rsidP="00B61180" w:rsidRDefault="00B61180" w14:paraId="270CBB9A" w14:textId="77777777">
      <w:pPr>
        <w:jc w:val="both"/>
      </w:pPr>
      <w:r w:rsidRPr="1AB6159B">
        <w:rPr>
          <w:rFonts w:ascii="Arial" w:hAnsi="Arial" w:cs="Arial"/>
          <w:sz w:val="24"/>
          <w:szCs w:val="24"/>
        </w:rPr>
        <w:t>Su reconocimiento dentro del presente diagnóstico no implica la creación de nuevas competencias, la modificación de su naturaleza jurídica ni la imposición de obligaciones adicionales para quienes los integran. Por el contrario, responde al propósito de aprovechar las capacidades organizativas e institucionales existentes, fortalecer la coordinación territorial y consolidar un modelo de gobernanza ambiental basado en la colaboración, la participación efectiva y el respeto por la autonomía de los distintos actores que intervienen en la gestión integral del páramo.</w:t>
      </w:r>
    </w:p>
    <w:p w:rsidR="00B61180" w:rsidP="00B61180" w:rsidRDefault="00B61180" w14:paraId="2E85D418" w14:textId="77777777">
      <w:pPr>
        <w:jc w:val="both"/>
        <w:rPr>
          <w:rFonts w:ascii="Arial" w:hAnsi="Arial" w:cs="Arial"/>
          <w:b/>
          <w:bCs/>
          <w:sz w:val="24"/>
          <w:szCs w:val="24"/>
        </w:rPr>
      </w:pPr>
      <w:r w:rsidRPr="1AB6159B">
        <w:rPr>
          <w:rFonts w:ascii="Arial" w:hAnsi="Arial" w:cs="Arial"/>
          <w:b/>
          <w:bCs/>
          <w:sz w:val="24"/>
          <w:szCs w:val="24"/>
        </w:rPr>
        <w:t xml:space="preserve">CAPÍTULO 5. TRAZABILIDAD ENTRE EL PROCESO PARTICIPATIVO Y EL DISEÑO DEL SISTEMA DE FISCALIZACIÓN </w:t>
      </w:r>
    </w:p>
    <w:p w:rsidR="00B61180" w:rsidP="00B61180" w:rsidRDefault="00B61180" w14:paraId="5F266BB1" w14:textId="77777777">
      <w:pPr>
        <w:jc w:val="both"/>
        <w:rPr>
          <w:rFonts w:ascii="Arial" w:hAnsi="Arial" w:cs="Arial"/>
          <w:sz w:val="24"/>
          <w:szCs w:val="24"/>
        </w:rPr>
      </w:pPr>
      <w:r w:rsidRPr="1AB6159B">
        <w:rPr>
          <w:rFonts w:ascii="Arial" w:hAnsi="Arial" w:cs="Arial"/>
          <w:sz w:val="24"/>
          <w:szCs w:val="24"/>
        </w:rPr>
        <w:t xml:space="preserve">Conforme a lo desarrollado en el capítulo "Qué es el Sistema de Fiscalización y para qué existe", el presente Sistema de Fiscalización tiene su origen en el proceso participativo adelantado durante las fases de consulta, iniciativa y concertación del procedimiento de delimitación del complejo de páramos jurisdicción Santurbán-Berlín. En ese sentido, el contenido del sistema no responde exclusivamente al análisis técnico y jurídico realizado por el Ministerio de Ambiente y Desarrollo Sostenible, sino que incorpora de manera directa los aportes formulados por las comunidades, las autoridades territoriales, las organizaciones sociales, el Ministerio Público y los demás actores participantes, en cumplimiento de los estándares de participación efectiva e incidencia real desarrollados por la Sentencia T-361 de 2017. </w:t>
      </w:r>
    </w:p>
    <w:p w:rsidR="00B61180" w:rsidP="00B61180" w:rsidRDefault="00B61180" w14:paraId="5FFE505F" w14:textId="77777777">
      <w:pPr>
        <w:jc w:val="both"/>
        <w:rPr>
          <w:rFonts w:ascii="Arial" w:hAnsi="Arial" w:cs="Arial"/>
          <w:sz w:val="24"/>
          <w:szCs w:val="24"/>
        </w:rPr>
      </w:pPr>
      <w:r w:rsidRPr="1AB6159B">
        <w:rPr>
          <w:rFonts w:ascii="Arial" w:hAnsi="Arial" w:cs="Arial"/>
          <w:sz w:val="24"/>
          <w:szCs w:val="24"/>
        </w:rPr>
        <w:t xml:space="preserve">El propósito de este capítulo es evidenciar la trazabilidad entre los aportes recibidos durante el proceso participativo y las decisiones incorporadas en el diseño del </w:t>
      </w:r>
      <w:r w:rsidRPr="1AB6159B">
        <w:rPr>
          <w:rFonts w:ascii="Arial" w:hAnsi="Arial" w:cs="Arial"/>
          <w:sz w:val="24"/>
          <w:szCs w:val="24"/>
        </w:rPr>
        <w:t xml:space="preserve">sistema de fiscalización, demostrando que las propuestas formuladas por los participantes fueron objeto de análisis individual, valoración técnica y jurídica y respuesta motivada, garantizando que la construcción del Sistema respondiera a las necesidades, preocupaciones y particularidades territoriales identificadas durante el proceso de delimitación. </w:t>
      </w:r>
    </w:p>
    <w:p w:rsidR="00B61180" w:rsidP="00B61180" w:rsidRDefault="00B61180" w14:paraId="3A5E3C01" w14:textId="77777777">
      <w:pPr>
        <w:jc w:val="both"/>
        <w:rPr>
          <w:rFonts w:ascii="Arial" w:hAnsi="Arial" w:cs="Arial"/>
          <w:sz w:val="24"/>
          <w:szCs w:val="24"/>
        </w:rPr>
      </w:pPr>
      <w:r w:rsidRPr="1AB6159B">
        <w:rPr>
          <w:rFonts w:ascii="Arial" w:hAnsi="Arial" w:cs="Arial"/>
          <w:sz w:val="24"/>
          <w:szCs w:val="24"/>
        </w:rPr>
        <w:t xml:space="preserve">La información aquí consolidada constituye un soporte del Documento Técnico de Soporte y una evidencia del cumplimiento del componente participativo exigido por la Sentencia T-361 de 2017, sin sustituir la matriz detallada de análisis de observaciones que hace parte integral del expediente administrativo del proceso de delimitación. </w:t>
      </w:r>
    </w:p>
    <w:p w:rsidR="00B61180" w:rsidP="00B61180" w:rsidRDefault="00B61180" w14:paraId="4C30D6FE" w14:textId="77777777">
      <w:pPr>
        <w:jc w:val="both"/>
        <w:rPr>
          <w:rFonts w:ascii="Arial" w:hAnsi="Arial" w:cs="Arial"/>
          <w:b/>
          <w:bCs/>
          <w:sz w:val="24"/>
          <w:szCs w:val="24"/>
        </w:rPr>
      </w:pPr>
      <w:r w:rsidRPr="1AB6159B">
        <w:rPr>
          <w:rFonts w:ascii="Arial" w:hAnsi="Arial" w:cs="Arial"/>
          <w:b/>
          <w:bCs/>
          <w:sz w:val="24"/>
          <w:szCs w:val="24"/>
        </w:rPr>
        <w:t xml:space="preserve">5.1 Fase de consulta e iniciativa </w:t>
      </w:r>
    </w:p>
    <w:p w:rsidR="00B61180" w:rsidP="00B61180" w:rsidRDefault="00B61180" w14:paraId="08B4A5F1" w14:textId="77777777">
      <w:pPr>
        <w:jc w:val="both"/>
        <w:rPr>
          <w:rFonts w:ascii="Arial" w:hAnsi="Arial" w:cs="Arial"/>
          <w:sz w:val="24"/>
          <w:szCs w:val="24"/>
        </w:rPr>
      </w:pPr>
      <w:r w:rsidRPr="1AB6159B">
        <w:rPr>
          <w:rFonts w:ascii="Arial" w:hAnsi="Arial" w:cs="Arial"/>
          <w:sz w:val="24"/>
          <w:szCs w:val="24"/>
        </w:rPr>
        <w:t xml:space="preserve">Durante la fase de consulta e iniciativa, las comunidades, organizaciones sociales, autoridades territoriales y demás actores formularon aportes relacionados con el diseño del sistema de fiscalización. Estos aportes fueron analizados individualmente por el equipo técnico y jurídico del Ministerio de Ambiente y Desarrollo Sostenible, determinando en cada caso su viabilidad, pertinencia y articulación con el objeto del Sistema, las competencias de las entidades involucradas y el marco constitucional, legal y jurisprudencial aplicable. </w:t>
      </w:r>
    </w:p>
    <w:p w:rsidR="00B61180" w:rsidP="00B61180" w:rsidRDefault="00B61180" w14:paraId="0C72F5D1" w14:textId="7FB52F81">
      <w:pPr>
        <w:jc w:val="both"/>
        <w:rPr>
          <w:rFonts w:ascii="Arial" w:hAnsi="Arial" w:cs="Arial"/>
          <w:sz w:val="24"/>
          <w:szCs w:val="24"/>
        </w:rPr>
      </w:pPr>
      <w:r w:rsidRPr="1AB6159B">
        <w:rPr>
          <w:rFonts w:ascii="Arial" w:hAnsi="Arial" w:cs="Arial"/>
          <w:sz w:val="24"/>
          <w:szCs w:val="24"/>
        </w:rPr>
        <w:t>Los aportes acogidos en esta etapa dieron lugar a componentes estructurales que hoy hacen parte del sistema de fiscalización, entre ellos el enfoque corresponsable del seguimiento entre comunidades e instituciones, el carácter preventivo y pedagógico del sistema, la articulación con los canales institucionales de recepción de alertas, la protección de quienes ejercen control social y el reconocimiento de la autonomía de las comunidades para desarrollar mecanismos propios de observación territorial y seguimiento comunitario, mientras las autoridades públicas mantienen el ejercicio de las competencias que les corresponden por ministerio de la Constitución y la ley.</w:t>
      </w:r>
    </w:p>
    <w:tbl>
      <w:tblPr>
        <w:tblStyle w:val="Tablaconcuadrcula"/>
        <w:tblW w:w="0" w:type="auto"/>
        <w:tblInd w:w="360" w:type="dxa"/>
        <w:tblLook w:val="04A0" w:firstRow="1" w:lastRow="0" w:firstColumn="1" w:lastColumn="0" w:noHBand="0" w:noVBand="1"/>
      </w:tblPr>
      <w:tblGrid>
        <w:gridCol w:w="2822"/>
        <w:gridCol w:w="2823"/>
        <w:gridCol w:w="2823"/>
      </w:tblGrid>
      <w:tr w:rsidRPr="006A5D46" w:rsidR="00B61180" w:rsidTr="00631238" w14:paraId="4FC63EAC" w14:textId="77777777">
        <w:tc>
          <w:tcPr>
            <w:tcW w:w="2822" w:type="dxa"/>
            <w:shd w:val="clear" w:color="auto" w:fill="00B050"/>
          </w:tcPr>
          <w:p w:rsidRPr="006A5D46" w:rsidR="00B61180" w:rsidP="00631238" w:rsidRDefault="00B61180" w14:paraId="314D164A" w14:textId="77777777">
            <w:pPr>
              <w:jc w:val="center"/>
              <w:rPr>
                <w:rFonts w:ascii="Arial" w:hAnsi="Arial" w:cs="Arial"/>
                <w:b/>
                <w:bCs/>
                <w:sz w:val="24"/>
                <w:szCs w:val="24"/>
              </w:rPr>
            </w:pPr>
            <w:r w:rsidRPr="006A5D46">
              <w:rPr>
                <w:rFonts w:ascii="Arial" w:hAnsi="Arial" w:cs="Arial"/>
                <w:b/>
                <w:bCs/>
                <w:sz w:val="24"/>
                <w:szCs w:val="24"/>
              </w:rPr>
              <w:t>Resultados</w:t>
            </w:r>
          </w:p>
        </w:tc>
        <w:tc>
          <w:tcPr>
            <w:tcW w:w="2823" w:type="dxa"/>
            <w:shd w:val="clear" w:color="auto" w:fill="00B050"/>
          </w:tcPr>
          <w:p w:rsidRPr="006A5D46" w:rsidR="00B61180" w:rsidP="00631238" w:rsidRDefault="00B61180" w14:paraId="755CD3AB" w14:textId="77777777">
            <w:pPr>
              <w:jc w:val="center"/>
              <w:rPr>
                <w:rFonts w:ascii="Arial" w:hAnsi="Arial" w:cs="Arial"/>
                <w:b/>
                <w:bCs/>
                <w:sz w:val="24"/>
                <w:szCs w:val="24"/>
              </w:rPr>
            </w:pPr>
            <w:r w:rsidRPr="006A5D46">
              <w:rPr>
                <w:rFonts w:ascii="Arial" w:hAnsi="Arial" w:cs="Arial"/>
                <w:b/>
                <w:bCs/>
                <w:sz w:val="24"/>
                <w:szCs w:val="24"/>
              </w:rPr>
              <w:t>Numero de Aportes</w:t>
            </w:r>
          </w:p>
        </w:tc>
        <w:tc>
          <w:tcPr>
            <w:tcW w:w="2823" w:type="dxa"/>
            <w:shd w:val="clear" w:color="auto" w:fill="00B050"/>
          </w:tcPr>
          <w:p w:rsidRPr="006A5D46" w:rsidR="00B61180" w:rsidP="00631238" w:rsidRDefault="00B61180" w14:paraId="05314F92" w14:textId="77777777">
            <w:pPr>
              <w:jc w:val="center"/>
              <w:rPr>
                <w:rFonts w:ascii="Arial" w:hAnsi="Arial" w:cs="Arial"/>
                <w:b/>
                <w:bCs/>
                <w:sz w:val="24"/>
                <w:szCs w:val="24"/>
              </w:rPr>
            </w:pPr>
            <w:r w:rsidRPr="006A5D46">
              <w:rPr>
                <w:rFonts w:ascii="Arial" w:hAnsi="Arial" w:cs="Arial"/>
                <w:b/>
                <w:bCs/>
                <w:sz w:val="24"/>
                <w:szCs w:val="24"/>
              </w:rPr>
              <w:t>Porcentaje</w:t>
            </w:r>
          </w:p>
        </w:tc>
      </w:tr>
      <w:tr w:rsidR="00B61180" w:rsidTr="00631238" w14:paraId="0C578813" w14:textId="77777777">
        <w:tc>
          <w:tcPr>
            <w:tcW w:w="2822" w:type="dxa"/>
          </w:tcPr>
          <w:p w:rsidR="00B61180" w:rsidP="00631238" w:rsidRDefault="00B61180" w14:paraId="035F33E4" w14:textId="77777777">
            <w:pPr>
              <w:jc w:val="both"/>
              <w:rPr>
                <w:rFonts w:ascii="Arial" w:hAnsi="Arial" w:cs="Arial"/>
                <w:sz w:val="24"/>
                <w:szCs w:val="24"/>
              </w:rPr>
            </w:pPr>
            <w:r>
              <w:rPr>
                <w:rFonts w:ascii="Arial" w:hAnsi="Arial" w:cs="Arial"/>
                <w:sz w:val="24"/>
                <w:szCs w:val="24"/>
              </w:rPr>
              <w:t>Acogidos</w:t>
            </w:r>
          </w:p>
        </w:tc>
        <w:tc>
          <w:tcPr>
            <w:tcW w:w="2823" w:type="dxa"/>
          </w:tcPr>
          <w:p w:rsidR="00B61180" w:rsidP="00631238" w:rsidRDefault="00B61180" w14:paraId="7656586A" w14:textId="77777777">
            <w:pPr>
              <w:jc w:val="center"/>
              <w:rPr>
                <w:rFonts w:ascii="Arial" w:hAnsi="Arial" w:cs="Arial"/>
                <w:sz w:val="24"/>
                <w:szCs w:val="24"/>
              </w:rPr>
            </w:pPr>
            <w:r>
              <w:rPr>
                <w:rFonts w:ascii="Arial" w:hAnsi="Arial" w:cs="Arial"/>
                <w:sz w:val="24"/>
                <w:szCs w:val="24"/>
              </w:rPr>
              <w:t>72</w:t>
            </w:r>
          </w:p>
        </w:tc>
        <w:tc>
          <w:tcPr>
            <w:tcW w:w="2823" w:type="dxa"/>
          </w:tcPr>
          <w:p w:rsidR="00B61180" w:rsidP="00631238" w:rsidRDefault="00B61180" w14:paraId="698AC940" w14:textId="77777777">
            <w:pPr>
              <w:jc w:val="center"/>
              <w:rPr>
                <w:rFonts w:ascii="Arial" w:hAnsi="Arial" w:cs="Arial"/>
                <w:sz w:val="24"/>
                <w:szCs w:val="24"/>
              </w:rPr>
            </w:pPr>
            <w:r>
              <w:rPr>
                <w:rFonts w:ascii="Arial" w:hAnsi="Arial" w:cs="Arial"/>
                <w:sz w:val="24"/>
                <w:szCs w:val="24"/>
              </w:rPr>
              <w:t>37</w:t>
            </w:r>
          </w:p>
        </w:tc>
      </w:tr>
      <w:tr w:rsidR="00B61180" w:rsidTr="00631238" w14:paraId="1168E10A" w14:textId="77777777">
        <w:tc>
          <w:tcPr>
            <w:tcW w:w="2822" w:type="dxa"/>
          </w:tcPr>
          <w:p w:rsidR="00B61180" w:rsidP="00631238" w:rsidRDefault="00B61180" w14:paraId="150C02FE" w14:textId="77777777">
            <w:pPr>
              <w:jc w:val="both"/>
              <w:rPr>
                <w:rFonts w:ascii="Arial" w:hAnsi="Arial" w:cs="Arial"/>
                <w:sz w:val="24"/>
                <w:szCs w:val="24"/>
              </w:rPr>
            </w:pPr>
            <w:r>
              <w:rPr>
                <w:rFonts w:ascii="Arial" w:hAnsi="Arial" w:cs="Arial"/>
                <w:sz w:val="24"/>
                <w:szCs w:val="24"/>
              </w:rPr>
              <w:t>No acogidos</w:t>
            </w:r>
          </w:p>
        </w:tc>
        <w:tc>
          <w:tcPr>
            <w:tcW w:w="2823" w:type="dxa"/>
          </w:tcPr>
          <w:p w:rsidR="00B61180" w:rsidP="00631238" w:rsidRDefault="00B61180" w14:paraId="08DB85B2" w14:textId="77777777">
            <w:pPr>
              <w:jc w:val="center"/>
              <w:rPr>
                <w:rFonts w:ascii="Arial" w:hAnsi="Arial" w:cs="Arial"/>
                <w:sz w:val="24"/>
                <w:szCs w:val="24"/>
              </w:rPr>
            </w:pPr>
            <w:r>
              <w:rPr>
                <w:rFonts w:ascii="Arial" w:hAnsi="Arial" w:cs="Arial"/>
                <w:sz w:val="24"/>
                <w:szCs w:val="24"/>
              </w:rPr>
              <w:t>104</w:t>
            </w:r>
          </w:p>
        </w:tc>
        <w:tc>
          <w:tcPr>
            <w:tcW w:w="2823" w:type="dxa"/>
          </w:tcPr>
          <w:p w:rsidR="00B61180" w:rsidP="00631238" w:rsidRDefault="00B61180" w14:paraId="68A4B2B6" w14:textId="77777777">
            <w:pPr>
              <w:jc w:val="center"/>
              <w:rPr>
                <w:rFonts w:ascii="Arial" w:hAnsi="Arial" w:cs="Arial"/>
                <w:sz w:val="24"/>
                <w:szCs w:val="24"/>
              </w:rPr>
            </w:pPr>
            <w:r>
              <w:rPr>
                <w:rFonts w:ascii="Arial" w:hAnsi="Arial" w:cs="Arial"/>
                <w:sz w:val="24"/>
                <w:szCs w:val="24"/>
              </w:rPr>
              <w:t>53</w:t>
            </w:r>
          </w:p>
        </w:tc>
      </w:tr>
      <w:tr w:rsidR="00B61180" w:rsidTr="00631238" w14:paraId="2AC8C03E" w14:textId="77777777">
        <w:tc>
          <w:tcPr>
            <w:tcW w:w="2822" w:type="dxa"/>
          </w:tcPr>
          <w:p w:rsidR="00B61180" w:rsidP="00631238" w:rsidRDefault="00B61180" w14:paraId="7F8DE5D7" w14:textId="77777777">
            <w:pPr>
              <w:jc w:val="both"/>
              <w:rPr>
                <w:rFonts w:ascii="Arial" w:hAnsi="Arial" w:cs="Arial"/>
                <w:sz w:val="24"/>
                <w:szCs w:val="24"/>
              </w:rPr>
            </w:pPr>
            <w:r>
              <w:rPr>
                <w:rFonts w:ascii="Arial" w:hAnsi="Arial" w:cs="Arial"/>
                <w:sz w:val="24"/>
                <w:szCs w:val="24"/>
              </w:rPr>
              <w:t>Parcialmente acogidos</w:t>
            </w:r>
          </w:p>
        </w:tc>
        <w:tc>
          <w:tcPr>
            <w:tcW w:w="2823" w:type="dxa"/>
          </w:tcPr>
          <w:p w:rsidR="00B61180" w:rsidP="00631238" w:rsidRDefault="00B61180" w14:paraId="01B76591" w14:textId="77777777">
            <w:pPr>
              <w:jc w:val="center"/>
              <w:rPr>
                <w:rFonts w:ascii="Arial" w:hAnsi="Arial" w:cs="Arial"/>
                <w:sz w:val="24"/>
                <w:szCs w:val="24"/>
              </w:rPr>
            </w:pPr>
            <w:r>
              <w:rPr>
                <w:rFonts w:ascii="Arial" w:hAnsi="Arial" w:cs="Arial"/>
                <w:sz w:val="24"/>
                <w:szCs w:val="24"/>
              </w:rPr>
              <w:t>5</w:t>
            </w:r>
          </w:p>
        </w:tc>
        <w:tc>
          <w:tcPr>
            <w:tcW w:w="2823" w:type="dxa"/>
          </w:tcPr>
          <w:p w:rsidR="00B61180" w:rsidP="00631238" w:rsidRDefault="00B61180" w14:paraId="73C013E9" w14:textId="77777777">
            <w:pPr>
              <w:jc w:val="center"/>
              <w:rPr>
                <w:rFonts w:ascii="Arial" w:hAnsi="Arial" w:cs="Arial"/>
                <w:sz w:val="24"/>
                <w:szCs w:val="24"/>
              </w:rPr>
            </w:pPr>
            <w:r>
              <w:rPr>
                <w:rFonts w:ascii="Arial" w:hAnsi="Arial" w:cs="Arial"/>
                <w:sz w:val="24"/>
                <w:szCs w:val="24"/>
              </w:rPr>
              <w:t>2</w:t>
            </w:r>
          </w:p>
        </w:tc>
      </w:tr>
      <w:tr w:rsidR="00B61180" w:rsidTr="00631238" w14:paraId="3C867A57" w14:textId="77777777">
        <w:tc>
          <w:tcPr>
            <w:tcW w:w="2822" w:type="dxa"/>
          </w:tcPr>
          <w:p w:rsidR="00B61180" w:rsidP="00631238" w:rsidRDefault="00B61180" w14:paraId="7283D8F8" w14:textId="77777777">
            <w:pPr>
              <w:jc w:val="both"/>
              <w:rPr>
                <w:rFonts w:ascii="Arial" w:hAnsi="Arial" w:cs="Arial"/>
                <w:sz w:val="24"/>
                <w:szCs w:val="24"/>
              </w:rPr>
            </w:pPr>
            <w:r>
              <w:rPr>
                <w:rFonts w:ascii="Arial" w:hAnsi="Arial" w:cs="Arial"/>
                <w:sz w:val="24"/>
                <w:szCs w:val="24"/>
              </w:rPr>
              <w:t>No aplica</w:t>
            </w:r>
          </w:p>
        </w:tc>
        <w:tc>
          <w:tcPr>
            <w:tcW w:w="2823" w:type="dxa"/>
          </w:tcPr>
          <w:p w:rsidR="00B61180" w:rsidP="00631238" w:rsidRDefault="00B61180" w14:paraId="4727A91D" w14:textId="77777777">
            <w:pPr>
              <w:jc w:val="center"/>
              <w:rPr>
                <w:rFonts w:ascii="Arial" w:hAnsi="Arial" w:cs="Arial"/>
                <w:sz w:val="24"/>
                <w:szCs w:val="24"/>
              </w:rPr>
            </w:pPr>
            <w:r>
              <w:rPr>
                <w:rFonts w:ascii="Arial" w:hAnsi="Arial" w:cs="Arial"/>
                <w:sz w:val="24"/>
                <w:szCs w:val="24"/>
              </w:rPr>
              <w:t>12</w:t>
            </w:r>
          </w:p>
        </w:tc>
        <w:tc>
          <w:tcPr>
            <w:tcW w:w="2823" w:type="dxa"/>
          </w:tcPr>
          <w:p w:rsidR="00B61180" w:rsidP="00631238" w:rsidRDefault="00B61180" w14:paraId="578FA3A9" w14:textId="77777777">
            <w:pPr>
              <w:jc w:val="center"/>
              <w:rPr>
                <w:rFonts w:ascii="Arial" w:hAnsi="Arial" w:cs="Arial"/>
                <w:sz w:val="24"/>
                <w:szCs w:val="24"/>
              </w:rPr>
            </w:pPr>
            <w:r>
              <w:rPr>
                <w:rFonts w:ascii="Arial" w:hAnsi="Arial" w:cs="Arial"/>
                <w:sz w:val="24"/>
                <w:szCs w:val="24"/>
              </w:rPr>
              <w:t>6</w:t>
            </w:r>
          </w:p>
        </w:tc>
      </w:tr>
    </w:tbl>
    <w:p w:rsidR="00B61180" w:rsidP="00B61180" w:rsidRDefault="00B61180" w14:paraId="0E101D52" w14:textId="77777777">
      <w:pPr>
        <w:jc w:val="both"/>
        <w:rPr>
          <w:rFonts w:ascii="Arial" w:hAnsi="Arial" w:cs="Arial"/>
          <w:sz w:val="24"/>
          <w:szCs w:val="24"/>
        </w:rPr>
      </w:pPr>
    </w:p>
    <w:p w:rsidR="00B61180" w:rsidP="00B61180" w:rsidRDefault="00B61180" w14:paraId="5AAC3994" w14:textId="77777777">
      <w:pPr>
        <w:jc w:val="both"/>
        <w:rPr>
          <w:rFonts w:ascii="Arial" w:hAnsi="Arial" w:cs="Arial"/>
          <w:sz w:val="24"/>
          <w:szCs w:val="24"/>
        </w:rPr>
      </w:pPr>
    </w:p>
    <w:p w:rsidR="00B61180" w:rsidP="00B61180" w:rsidRDefault="00B61180" w14:paraId="0B125702" w14:textId="77777777">
      <w:pPr>
        <w:jc w:val="both"/>
        <w:rPr>
          <w:rFonts w:ascii="Arial" w:hAnsi="Arial" w:cs="Arial"/>
          <w:sz w:val="24"/>
          <w:szCs w:val="24"/>
        </w:rPr>
      </w:pPr>
    </w:p>
    <w:p w:rsidR="00B61180" w:rsidP="00B61180" w:rsidRDefault="00B61180" w14:paraId="1B4191BB" w14:textId="77777777">
      <w:pPr>
        <w:jc w:val="both"/>
        <w:rPr>
          <w:rFonts w:ascii="Arial" w:hAnsi="Arial" w:cs="Arial"/>
          <w:b/>
          <w:bCs/>
          <w:sz w:val="24"/>
          <w:szCs w:val="24"/>
        </w:rPr>
      </w:pPr>
      <w:r w:rsidRPr="1AB6159B">
        <w:rPr>
          <w:rFonts w:ascii="Arial" w:hAnsi="Arial" w:cs="Arial"/>
          <w:b/>
          <w:bCs/>
          <w:sz w:val="24"/>
          <w:szCs w:val="24"/>
        </w:rPr>
        <w:t xml:space="preserve">5.2 Jornadas de concertación </w:t>
      </w:r>
    </w:p>
    <w:p w:rsidR="00B61180" w:rsidP="00B61180" w:rsidRDefault="00B61180" w14:paraId="3D807C97" w14:textId="77777777">
      <w:pPr>
        <w:jc w:val="both"/>
        <w:rPr>
          <w:rFonts w:ascii="Arial" w:hAnsi="Arial" w:cs="Arial"/>
          <w:sz w:val="24"/>
          <w:szCs w:val="24"/>
        </w:rPr>
      </w:pPr>
      <w:r w:rsidRPr="1AB6159B">
        <w:rPr>
          <w:rFonts w:ascii="Arial" w:hAnsi="Arial" w:cs="Arial"/>
          <w:sz w:val="24"/>
          <w:szCs w:val="24"/>
        </w:rPr>
        <w:t>Sobre el mismo tema, durante las jornadas de concertación de 2021 se recibieron 193 registros adicionales clasificados como solicitudes, tensiones y desacuerdos o disensos, distribuidos en 28 municipios de los dos departamentos del complejo. Estas jornadas hacen parte de un proceso participativo más amplio que comprendió 62 sesiones de trabajo.</w:t>
      </w:r>
    </w:p>
    <w:p w:rsidR="00B61180" w:rsidP="00B61180" w:rsidRDefault="00B61180" w14:paraId="0538758A" w14:textId="77777777">
      <w:pPr>
        <w:jc w:val="both"/>
        <w:rPr>
          <w:rFonts w:ascii="Arial" w:hAnsi="Arial" w:cs="Arial"/>
          <w:sz w:val="24"/>
          <w:szCs w:val="24"/>
        </w:rPr>
      </w:pPr>
    </w:p>
    <w:tbl>
      <w:tblPr>
        <w:tblStyle w:val="Tablaconcuadrcula"/>
        <w:tblW w:w="0" w:type="auto"/>
        <w:tblInd w:w="360" w:type="dxa"/>
        <w:tblLook w:val="04A0" w:firstRow="1" w:lastRow="0" w:firstColumn="1" w:lastColumn="0" w:noHBand="0" w:noVBand="1"/>
      </w:tblPr>
      <w:tblGrid>
        <w:gridCol w:w="4286"/>
        <w:gridCol w:w="4264"/>
      </w:tblGrid>
      <w:tr w:rsidR="00B61180" w:rsidTr="00631238" w14:paraId="02F52EA6" w14:textId="77777777">
        <w:tc>
          <w:tcPr>
            <w:tcW w:w="4414" w:type="dxa"/>
            <w:shd w:val="clear" w:color="auto" w:fill="00B050"/>
          </w:tcPr>
          <w:p w:rsidR="00B61180" w:rsidP="00631238" w:rsidRDefault="00B61180" w14:paraId="6201E9F3" w14:textId="77777777">
            <w:pPr>
              <w:jc w:val="center"/>
              <w:rPr>
                <w:rFonts w:ascii="Arial" w:hAnsi="Arial" w:cs="Arial"/>
                <w:sz w:val="24"/>
                <w:szCs w:val="24"/>
              </w:rPr>
            </w:pPr>
            <w:r>
              <w:rPr>
                <w:rFonts w:ascii="Arial" w:hAnsi="Arial" w:cs="Arial"/>
                <w:sz w:val="24"/>
                <w:szCs w:val="24"/>
              </w:rPr>
              <w:t>Tipo de intervención</w:t>
            </w:r>
          </w:p>
        </w:tc>
        <w:tc>
          <w:tcPr>
            <w:tcW w:w="4414" w:type="dxa"/>
            <w:shd w:val="clear" w:color="auto" w:fill="00B050"/>
          </w:tcPr>
          <w:p w:rsidR="00B61180" w:rsidP="00631238" w:rsidRDefault="00B61180" w14:paraId="7E78FFAB" w14:textId="77777777">
            <w:pPr>
              <w:jc w:val="center"/>
              <w:rPr>
                <w:rFonts w:ascii="Arial" w:hAnsi="Arial" w:cs="Arial"/>
                <w:sz w:val="24"/>
                <w:szCs w:val="24"/>
              </w:rPr>
            </w:pPr>
            <w:r>
              <w:rPr>
                <w:rFonts w:ascii="Arial" w:hAnsi="Arial" w:cs="Arial"/>
                <w:sz w:val="24"/>
                <w:szCs w:val="24"/>
              </w:rPr>
              <w:t>Numero de registros</w:t>
            </w:r>
          </w:p>
        </w:tc>
      </w:tr>
      <w:tr w:rsidR="00B61180" w:rsidTr="00631238" w14:paraId="42F96D27" w14:textId="77777777">
        <w:tc>
          <w:tcPr>
            <w:tcW w:w="4414" w:type="dxa"/>
          </w:tcPr>
          <w:p w:rsidR="00B61180" w:rsidP="00631238" w:rsidRDefault="00B61180" w14:paraId="130B3C99" w14:textId="77777777">
            <w:pPr>
              <w:jc w:val="both"/>
              <w:rPr>
                <w:rFonts w:ascii="Arial" w:hAnsi="Arial" w:cs="Arial"/>
                <w:sz w:val="24"/>
                <w:szCs w:val="24"/>
              </w:rPr>
            </w:pPr>
            <w:r>
              <w:rPr>
                <w:rFonts w:ascii="Arial" w:hAnsi="Arial" w:cs="Arial"/>
                <w:sz w:val="24"/>
                <w:szCs w:val="24"/>
              </w:rPr>
              <w:t xml:space="preserve">Solicitudes </w:t>
            </w:r>
          </w:p>
        </w:tc>
        <w:tc>
          <w:tcPr>
            <w:tcW w:w="4414" w:type="dxa"/>
          </w:tcPr>
          <w:p w:rsidR="00B61180" w:rsidP="00631238" w:rsidRDefault="00B61180" w14:paraId="31206618" w14:textId="77777777">
            <w:pPr>
              <w:jc w:val="center"/>
              <w:rPr>
                <w:rFonts w:ascii="Arial" w:hAnsi="Arial" w:cs="Arial"/>
                <w:sz w:val="24"/>
                <w:szCs w:val="24"/>
              </w:rPr>
            </w:pPr>
            <w:r>
              <w:rPr>
                <w:rFonts w:ascii="Arial" w:hAnsi="Arial" w:cs="Arial"/>
                <w:sz w:val="24"/>
                <w:szCs w:val="24"/>
              </w:rPr>
              <w:t>163</w:t>
            </w:r>
          </w:p>
        </w:tc>
      </w:tr>
      <w:tr w:rsidR="00B61180" w:rsidTr="00631238" w14:paraId="65245206" w14:textId="77777777">
        <w:tc>
          <w:tcPr>
            <w:tcW w:w="4414" w:type="dxa"/>
          </w:tcPr>
          <w:p w:rsidR="00B61180" w:rsidP="00631238" w:rsidRDefault="00B61180" w14:paraId="75DD411D" w14:textId="77777777">
            <w:pPr>
              <w:jc w:val="both"/>
              <w:rPr>
                <w:rFonts w:ascii="Arial" w:hAnsi="Arial" w:cs="Arial"/>
                <w:sz w:val="24"/>
                <w:szCs w:val="24"/>
              </w:rPr>
            </w:pPr>
            <w:r>
              <w:rPr>
                <w:rFonts w:ascii="Arial" w:hAnsi="Arial" w:cs="Arial"/>
                <w:sz w:val="24"/>
                <w:szCs w:val="24"/>
              </w:rPr>
              <w:t xml:space="preserve">Tensiones </w:t>
            </w:r>
          </w:p>
        </w:tc>
        <w:tc>
          <w:tcPr>
            <w:tcW w:w="4414" w:type="dxa"/>
          </w:tcPr>
          <w:p w:rsidR="00B61180" w:rsidP="00631238" w:rsidRDefault="00B61180" w14:paraId="4417EE78" w14:textId="77777777">
            <w:pPr>
              <w:jc w:val="center"/>
              <w:rPr>
                <w:rFonts w:ascii="Arial" w:hAnsi="Arial" w:cs="Arial"/>
                <w:sz w:val="24"/>
                <w:szCs w:val="24"/>
              </w:rPr>
            </w:pPr>
            <w:r>
              <w:rPr>
                <w:rFonts w:ascii="Arial" w:hAnsi="Arial" w:cs="Arial"/>
                <w:sz w:val="24"/>
                <w:szCs w:val="24"/>
              </w:rPr>
              <w:t>15</w:t>
            </w:r>
          </w:p>
        </w:tc>
      </w:tr>
      <w:tr w:rsidR="00B61180" w:rsidTr="00631238" w14:paraId="2D89FE9D" w14:textId="77777777">
        <w:tc>
          <w:tcPr>
            <w:tcW w:w="4414" w:type="dxa"/>
          </w:tcPr>
          <w:p w:rsidR="00B61180" w:rsidP="00631238" w:rsidRDefault="00B61180" w14:paraId="3D6BA79E" w14:textId="77777777">
            <w:pPr>
              <w:jc w:val="both"/>
              <w:rPr>
                <w:rFonts w:ascii="Arial" w:hAnsi="Arial" w:cs="Arial"/>
                <w:sz w:val="24"/>
                <w:szCs w:val="24"/>
              </w:rPr>
            </w:pPr>
            <w:r>
              <w:rPr>
                <w:rFonts w:ascii="Arial" w:hAnsi="Arial" w:cs="Arial"/>
                <w:sz w:val="24"/>
                <w:szCs w:val="24"/>
              </w:rPr>
              <w:t xml:space="preserve">Desacuerdos o Disensos </w:t>
            </w:r>
          </w:p>
        </w:tc>
        <w:tc>
          <w:tcPr>
            <w:tcW w:w="4414" w:type="dxa"/>
          </w:tcPr>
          <w:p w:rsidR="00B61180" w:rsidP="00631238" w:rsidRDefault="00B61180" w14:paraId="660A2067" w14:textId="77777777">
            <w:pPr>
              <w:jc w:val="center"/>
              <w:rPr>
                <w:rFonts w:ascii="Arial" w:hAnsi="Arial" w:cs="Arial"/>
                <w:sz w:val="24"/>
                <w:szCs w:val="24"/>
              </w:rPr>
            </w:pPr>
            <w:r>
              <w:rPr>
                <w:rFonts w:ascii="Arial" w:hAnsi="Arial" w:cs="Arial"/>
                <w:sz w:val="24"/>
                <w:szCs w:val="24"/>
              </w:rPr>
              <w:t>5</w:t>
            </w:r>
          </w:p>
        </w:tc>
      </w:tr>
    </w:tbl>
    <w:p w:rsidR="00B61180" w:rsidP="00B61180" w:rsidRDefault="00B61180" w14:paraId="21F995CB" w14:textId="77777777">
      <w:pPr>
        <w:ind w:left="360"/>
        <w:jc w:val="both"/>
        <w:rPr>
          <w:rFonts w:ascii="Arial" w:hAnsi="Arial" w:cs="Arial"/>
          <w:sz w:val="24"/>
          <w:szCs w:val="24"/>
        </w:rPr>
      </w:pPr>
    </w:p>
    <w:p w:rsidR="00B61180" w:rsidP="00B61180" w:rsidRDefault="00B61180" w14:paraId="7EF44E88" w14:textId="77777777">
      <w:pPr>
        <w:jc w:val="both"/>
      </w:pPr>
      <w:r w:rsidRPr="1AB6159B">
        <w:rPr>
          <w:rFonts w:ascii="Arial" w:hAnsi="Arial" w:cs="Arial"/>
          <w:sz w:val="24"/>
          <w:szCs w:val="24"/>
        </w:rPr>
        <w:t xml:space="preserve">Las jornadas de concertación desarrolladas durante el año los años del 2024 al 2026 profundizaron el análisis de los componentes del Sistema de Fiscalización y permitieron identificar solicitudes, tensiones y desacuerdos formulados por las comunidades y los demás actores participantes. Cada uno de estos registros fue objeto de análisis técnico y jurídico individualizado, determinando su incorporación al acto administrativo de delimitación, al Documento Técnico de Soporte, su traslado a la entidad competente cuando correspondía a materias ajenas al objeto del Sistema, o la explicación de que la situación planteada ya se encontraba regulada por el ordenamiento jurídico vigente. </w:t>
      </w:r>
    </w:p>
    <w:p w:rsidR="00B61180" w:rsidP="00B61180" w:rsidRDefault="00B61180" w14:paraId="7D75A3AD" w14:textId="77777777">
      <w:pPr>
        <w:jc w:val="both"/>
      </w:pPr>
      <w:r w:rsidRPr="1AB6159B">
        <w:rPr>
          <w:rFonts w:ascii="Arial" w:hAnsi="Arial" w:cs="Arial"/>
          <w:sz w:val="24"/>
          <w:szCs w:val="24"/>
        </w:rPr>
        <w:t xml:space="preserve">Los aportes recibidos durante esta fase en los 28 municipios en donde se cerró la fase de concertación pueden resumirse en un interés desde las comunidades de asegurar los principios de transparencia, corresponsabilidad y participación en la instancia de fiscalización para los habitantes de páramo y sus formas de organización y veeduría a nivel comunitario. </w:t>
      </w:r>
    </w:p>
    <w:p w:rsidR="00B61180" w:rsidP="00B61180" w:rsidRDefault="00B61180" w14:paraId="25150FD2" w14:textId="77777777">
      <w:pPr>
        <w:jc w:val="both"/>
        <w:rPr>
          <w:rFonts w:ascii="Arial" w:hAnsi="Arial" w:cs="Arial"/>
          <w:sz w:val="24"/>
          <w:szCs w:val="24"/>
        </w:rPr>
      </w:pPr>
      <w:r w:rsidRPr="1AB6159B">
        <w:rPr>
          <w:rFonts w:ascii="Arial" w:hAnsi="Arial" w:cs="Arial"/>
          <w:sz w:val="24"/>
          <w:szCs w:val="24"/>
        </w:rPr>
        <w:t xml:space="preserve">Así mismo, los aportes se dirigieron a la inclusión o posibilidad de convocatoria de actores clave cuya presencia, aunque no es requerida de manera permanente, puede ser de utilidad para el abordaje de casos, situación y eventos específicos relacionados con elementos como: actividades agropecuarias, minería, garantía a los derechos humanos, investigación de delitos ambientales, entre otros elementos. Estos aportes pueden ser evidenciados en la siguiente tabla, y fueron integrados en este documento que se presenta. </w:t>
      </w:r>
    </w:p>
    <w:tbl>
      <w:tblPr>
        <w:tblW w:w="9067" w:type="dxa"/>
        <w:tblLook w:val="06A0" w:firstRow="1" w:lastRow="0" w:firstColumn="1" w:lastColumn="0" w:noHBand="1" w:noVBand="1"/>
      </w:tblPr>
      <w:tblGrid>
        <w:gridCol w:w="1262"/>
        <w:gridCol w:w="3668"/>
        <w:gridCol w:w="2917"/>
        <w:gridCol w:w="1220"/>
      </w:tblGrid>
      <w:tr w:rsidR="00B61180" w:rsidTr="00B61180" w14:paraId="677DA578" w14:textId="77777777">
        <w:trPr>
          <w:trHeight w:val="285"/>
        </w:trPr>
        <w:tc>
          <w:tcPr>
            <w:tcW w:w="9067" w:type="dxa"/>
            <w:gridSpan w:val="4"/>
            <w:tcBorders>
              <w:top w:val="single" w:color="auto" w:sz="4" w:space="0"/>
              <w:left w:val="single" w:color="auto" w:sz="4" w:space="0"/>
              <w:bottom w:val="single" w:color="auto" w:sz="4" w:space="0"/>
              <w:right w:val="single" w:color="000000" w:themeColor="text1" w:sz="4" w:space="0"/>
            </w:tcBorders>
            <w:tcMar>
              <w:top w:w="15" w:type="dxa"/>
              <w:left w:w="15" w:type="dxa"/>
              <w:right w:w="15" w:type="dxa"/>
            </w:tcMar>
            <w:vAlign w:val="center"/>
          </w:tcPr>
          <w:p w:rsidR="00B61180" w:rsidP="00631238" w:rsidRDefault="00B61180" w14:paraId="340CBB63" w14:textId="77777777">
            <w:pPr>
              <w:spacing w:after="0"/>
              <w:jc w:val="center"/>
            </w:pPr>
            <w:r w:rsidRPr="1AB6159B">
              <w:rPr>
                <w:rFonts w:ascii="Arial Narrow" w:hAnsi="Arial Narrow" w:eastAsia="Arial Narrow" w:cs="Arial Narrow"/>
                <w:b/>
                <w:bCs/>
                <w:color w:val="000000" w:themeColor="text1"/>
              </w:rPr>
              <w:t>FISCALIZACIÓN</w:t>
            </w:r>
          </w:p>
        </w:tc>
      </w:tr>
      <w:tr w:rsidR="00B61180" w:rsidTr="00B61180" w14:paraId="56D88463" w14:textId="77777777">
        <w:trPr>
          <w:trHeight w:val="585"/>
        </w:trPr>
        <w:tc>
          <w:tcPr>
            <w:tcW w:w="1262" w:type="dxa"/>
            <w:tcBorders>
              <w:top w:val="single" w:color="auto" w:sz="4" w:space="0"/>
              <w:left w:val="single" w:color="auto" w:sz="4" w:space="0"/>
              <w:bottom w:val="single" w:color="auto" w:sz="4" w:space="0"/>
              <w:right w:val="single" w:color="000000" w:themeColor="text1" w:sz="4" w:space="0"/>
            </w:tcBorders>
            <w:shd w:val="clear" w:color="auto" w:fill="DAF2D0"/>
            <w:tcMar>
              <w:top w:w="15" w:type="dxa"/>
              <w:left w:w="15" w:type="dxa"/>
              <w:right w:w="15" w:type="dxa"/>
            </w:tcMar>
            <w:vAlign w:val="center"/>
          </w:tcPr>
          <w:p w:rsidR="00B61180" w:rsidP="00631238" w:rsidRDefault="00B61180" w14:paraId="5A41EAFF" w14:textId="77777777">
            <w:pPr>
              <w:spacing w:after="0"/>
            </w:pPr>
            <w:r w:rsidRPr="1AB6159B">
              <w:rPr>
                <w:rFonts w:ascii="Arial Narrow" w:hAnsi="Arial Narrow" w:eastAsia="Arial Narrow" w:cs="Arial Narrow"/>
                <w:b/>
                <w:bCs/>
                <w:color w:val="000000" w:themeColor="text1"/>
              </w:rPr>
              <w:t xml:space="preserve">MUNICIPIO </w:t>
            </w:r>
          </w:p>
        </w:tc>
        <w:tc>
          <w:tcPr>
            <w:tcW w:w="3668" w:type="dxa"/>
            <w:tcBorders>
              <w:top w:val="nil"/>
              <w:left w:val="single" w:color="auto" w:sz="4" w:space="0"/>
              <w:bottom w:val="single" w:color="auto" w:sz="4" w:space="0"/>
              <w:right w:val="single" w:color="auto" w:sz="4" w:space="0"/>
            </w:tcBorders>
            <w:shd w:val="clear" w:color="auto" w:fill="DAF2D0"/>
            <w:tcMar>
              <w:top w:w="15" w:type="dxa"/>
              <w:left w:w="15" w:type="dxa"/>
              <w:right w:w="15" w:type="dxa"/>
            </w:tcMar>
            <w:vAlign w:val="center"/>
          </w:tcPr>
          <w:p w:rsidR="00B61180" w:rsidP="00631238" w:rsidRDefault="00B61180" w14:paraId="2DE122E3" w14:textId="77777777">
            <w:pPr>
              <w:spacing w:after="0"/>
              <w:jc w:val="center"/>
            </w:pPr>
            <w:r w:rsidRPr="1AB6159B">
              <w:rPr>
                <w:rFonts w:ascii="Arial Narrow" w:hAnsi="Arial Narrow" w:eastAsia="Arial Narrow" w:cs="Arial Narrow"/>
                <w:b/>
                <w:bCs/>
                <w:color w:val="000000" w:themeColor="text1"/>
              </w:rPr>
              <w:t>APORTES</w:t>
            </w:r>
          </w:p>
        </w:tc>
        <w:tc>
          <w:tcPr>
            <w:tcW w:w="2917" w:type="dxa"/>
            <w:tcBorders>
              <w:top w:val="nil"/>
              <w:left w:val="single" w:color="auto" w:sz="4" w:space="0"/>
              <w:bottom w:val="single" w:color="auto" w:sz="4" w:space="0"/>
              <w:right w:val="single" w:color="auto" w:sz="4" w:space="0"/>
            </w:tcBorders>
            <w:shd w:val="clear" w:color="auto" w:fill="DAF2D0"/>
            <w:tcMar>
              <w:top w:w="15" w:type="dxa"/>
              <w:left w:w="15" w:type="dxa"/>
              <w:right w:w="15" w:type="dxa"/>
            </w:tcMar>
            <w:vAlign w:val="center"/>
          </w:tcPr>
          <w:p w:rsidR="00B61180" w:rsidP="00631238" w:rsidRDefault="00B61180" w14:paraId="310427AC" w14:textId="77777777">
            <w:pPr>
              <w:spacing w:after="0"/>
              <w:jc w:val="center"/>
            </w:pPr>
            <w:r w:rsidRPr="1AB6159B">
              <w:rPr>
                <w:rFonts w:ascii="Arial Narrow" w:hAnsi="Arial Narrow" w:eastAsia="Arial Narrow" w:cs="Arial Narrow"/>
                <w:b/>
                <w:bCs/>
                <w:color w:val="000000" w:themeColor="text1"/>
              </w:rPr>
              <w:t>RESPUESTA</w:t>
            </w:r>
          </w:p>
        </w:tc>
        <w:tc>
          <w:tcPr>
            <w:tcW w:w="1220" w:type="dxa"/>
            <w:tcBorders>
              <w:top w:val="nil"/>
              <w:left w:val="single" w:color="auto" w:sz="4" w:space="0"/>
              <w:bottom w:val="single" w:color="auto" w:sz="4" w:space="0"/>
              <w:right w:val="single" w:color="000000" w:themeColor="text1" w:sz="4" w:space="0"/>
            </w:tcBorders>
            <w:shd w:val="clear" w:color="auto" w:fill="DAF2D0"/>
            <w:tcMar>
              <w:top w:w="15" w:type="dxa"/>
              <w:left w:w="15" w:type="dxa"/>
              <w:right w:w="15" w:type="dxa"/>
            </w:tcMar>
            <w:vAlign w:val="center"/>
          </w:tcPr>
          <w:p w:rsidR="00B61180" w:rsidP="00631238" w:rsidRDefault="00B61180" w14:paraId="0772B6B9" w14:textId="77777777">
            <w:pPr>
              <w:spacing w:after="0"/>
              <w:jc w:val="center"/>
            </w:pPr>
            <w:r w:rsidRPr="1AB6159B">
              <w:rPr>
                <w:rFonts w:ascii="Arial Narrow" w:hAnsi="Arial Narrow" w:eastAsia="Arial Narrow" w:cs="Arial Narrow"/>
                <w:b/>
                <w:bCs/>
                <w:color w:val="000000" w:themeColor="text1"/>
              </w:rPr>
              <w:t>ESTADO</w:t>
            </w:r>
          </w:p>
        </w:tc>
      </w:tr>
      <w:tr w:rsidR="00B61180" w:rsidTr="00B61180" w14:paraId="3A10E8E0" w14:textId="77777777">
        <w:trPr>
          <w:trHeight w:val="5678"/>
        </w:trPr>
        <w:tc>
          <w:tcPr>
            <w:tcW w:w="1262" w:type="dxa"/>
            <w:vMerge w:val="restart"/>
            <w:tcBorders>
              <w:top w:val="single" w:color="auto" w:sz="4" w:space="0"/>
              <w:left w:val="single" w:color="auto" w:sz="4" w:space="0"/>
              <w:bottom w:val="single" w:color="000000" w:themeColor="text1" w:sz="4" w:space="0"/>
              <w:right w:val="single" w:color="auto" w:sz="4" w:space="0"/>
            </w:tcBorders>
            <w:shd w:val="clear" w:color="auto" w:fill="DAF2D0"/>
            <w:tcMar>
              <w:top w:w="15" w:type="dxa"/>
              <w:left w:w="15" w:type="dxa"/>
              <w:right w:w="15" w:type="dxa"/>
            </w:tcMar>
            <w:vAlign w:val="center"/>
          </w:tcPr>
          <w:p w:rsidR="00B61180" w:rsidP="00631238" w:rsidRDefault="00B61180" w14:paraId="4B5BB81C" w14:textId="77777777">
            <w:pPr>
              <w:spacing w:after="0"/>
              <w:jc w:val="center"/>
            </w:pPr>
            <w:r w:rsidRPr="1AB6159B">
              <w:rPr>
                <w:rFonts w:ascii="Arial Narrow" w:hAnsi="Arial Narrow" w:eastAsia="Arial Narrow" w:cs="Arial Narrow"/>
                <w:b/>
                <w:bCs/>
                <w:color w:val="000000" w:themeColor="text1"/>
              </w:rPr>
              <w:t>Vetas (S)</w:t>
            </w:r>
          </w:p>
        </w:tc>
        <w:tc>
          <w:tcPr>
            <w:tcW w:w="3668" w:type="dxa"/>
            <w:vMerge w:val="restart"/>
            <w:tcBorders>
              <w:top w:val="single" w:color="auto" w:sz="4" w:space="0"/>
              <w:left w:val="single" w:color="auto" w:sz="4" w:space="0"/>
              <w:bottom w:val="single" w:color="000000" w:themeColor="text1" w:sz="4" w:space="0"/>
              <w:right w:val="single" w:color="auto" w:sz="4" w:space="0"/>
            </w:tcBorders>
            <w:tcMar>
              <w:top w:w="15" w:type="dxa"/>
              <w:left w:w="15" w:type="dxa"/>
              <w:right w:w="15" w:type="dxa"/>
            </w:tcMar>
            <w:vAlign w:val="center"/>
          </w:tcPr>
          <w:p w:rsidR="00B61180" w:rsidP="00631238" w:rsidRDefault="00B61180" w14:paraId="18B2E477" w14:textId="77777777">
            <w:pPr>
              <w:spacing w:after="0"/>
              <w:jc w:val="center"/>
            </w:pPr>
            <w:r w:rsidRPr="1AB6159B">
              <w:rPr>
                <w:rFonts w:ascii="Arial Narrow" w:hAnsi="Arial Narrow" w:eastAsia="Arial Narrow" w:cs="Arial Narrow"/>
                <w:b/>
                <w:bCs/>
                <w:color w:val="000000" w:themeColor="text1"/>
              </w:rPr>
              <w:t>Sistema de Fizcalización</w:t>
            </w:r>
            <w:r>
              <w:br/>
            </w:r>
            <w:r w:rsidRPr="1AB6159B">
              <w:rPr>
                <w:rFonts w:ascii="Arial Narrow" w:hAnsi="Arial Narrow" w:eastAsia="Arial Narrow" w:cs="Arial Narrow"/>
                <w:b/>
                <w:bCs/>
                <w:color w:val="000000" w:themeColor="text1"/>
              </w:rPr>
              <w:t xml:space="preserve"> </w:t>
            </w:r>
            <w:r>
              <w:br/>
            </w:r>
            <w:r w:rsidRPr="1AB6159B">
              <w:rPr>
                <w:rFonts w:ascii="Arial Narrow" w:hAnsi="Arial Narrow" w:eastAsia="Arial Narrow" w:cs="Arial Narrow"/>
                <w:color w:val="000000" w:themeColor="text1"/>
              </w:rPr>
              <w:t xml:space="preserve">4.1. Las partes acuerda, por solicitud de la comunidad, que la fiscalia General de la Nación se Incluya en el sistema de fiscalización. </w:t>
            </w:r>
            <w:r>
              <w:br/>
            </w:r>
            <w:r w:rsidRPr="1AB6159B">
              <w:rPr>
                <w:rFonts w:ascii="Arial Narrow" w:hAnsi="Arial Narrow" w:eastAsia="Arial Narrow" w:cs="Arial Narrow"/>
                <w:color w:val="000000" w:themeColor="text1"/>
              </w:rPr>
              <w:t xml:space="preserve">                                            </w:t>
            </w:r>
            <w:r>
              <w:br/>
            </w:r>
            <w:r w:rsidRPr="1AB6159B">
              <w:rPr>
                <w:rFonts w:ascii="Arial Narrow" w:hAnsi="Arial Narrow" w:eastAsia="Arial Narrow" w:cs="Arial Narrow"/>
                <w:color w:val="000000" w:themeColor="text1"/>
              </w:rPr>
              <w:t xml:space="preserve">4.2. La procuraduria pone a consideración integrar al sistema de Fiscalización la Agencia Nacional de Mineria, propuesta que es adoptada. Las partes, en igual sentido integran al sistema de fiscalización al Ministerio de Minas y Energias y al Ministerio de Agricultura y Desarrollo Sostenible. </w:t>
            </w:r>
            <w:r>
              <w:br/>
            </w:r>
            <w:r>
              <w:br/>
            </w:r>
            <w:r w:rsidRPr="1AB6159B">
              <w:rPr>
                <w:rFonts w:ascii="Arial Narrow" w:hAnsi="Arial Narrow" w:eastAsia="Arial Narrow" w:cs="Arial Narrow"/>
                <w:color w:val="000000" w:themeColor="text1"/>
              </w:rPr>
              <w:t>4.3. Las partes acuerdan que el Ministerio Público (Defensoria del Pueblo, Procuraduria General de La Nación y Personerías Municipales), no debe estar incluido en la lista de actores del sistema de fiscalización teniendo en cuenta que en el ejercicio propio de sus funciones podrán realizar la vigilancia de las labores realizadas por el sistema de fiscalización.</w:t>
            </w:r>
            <w:r>
              <w:br/>
            </w:r>
            <w:r w:rsidRPr="1AB6159B">
              <w:rPr>
                <w:rFonts w:ascii="Arial Narrow" w:hAnsi="Arial Narrow" w:eastAsia="Arial Narrow" w:cs="Arial Narrow"/>
                <w:color w:val="000000" w:themeColor="text1"/>
              </w:rPr>
              <w:t xml:space="preserve"> </w:t>
            </w:r>
            <w:r>
              <w:br/>
            </w:r>
            <w:r w:rsidRPr="1AB6159B">
              <w:rPr>
                <w:rFonts w:ascii="Arial Narrow" w:hAnsi="Arial Narrow" w:eastAsia="Arial Narrow" w:cs="Arial Narrow"/>
                <w:color w:val="000000" w:themeColor="text1"/>
              </w:rPr>
              <w:t>4.4. Al respecto de los actores que integran el sistema de Fiscalización, el MADS se compromete a revisar con las autoridades locales y regionales con las que se adelantaron los talleres en fase de consulta e iniciativa, la pertinencia y legalidad de la inclusión en el sistema de fiscalización de los gestores de páramo y las veedurias ciudadanas.</w:t>
            </w:r>
          </w:p>
        </w:tc>
        <w:tc>
          <w:tcPr>
            <w:tcW w:w="2917"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B61180" w:rsidP="00631238" w:rsidRDefault="00B61180" w14:paraId="21F357FD" w14:textId="77777777">
            <w:pPr>
              <w:spacing w:after="0"/>
              <w:jc w:val="center"/>
            </w:pPr>
            <w:r w:rsidRPr="1AB6159B">
              <w:rPr>
                <w:rFonts w:ascii="Arial Narrow" w:hAnsi="Arial Narrow" w:eastAsia="Arial Narrow" w:cs="Arial Narrow"/>
                <w:color w:val="000000" w:themeColor="text1"/>
              </w:rPr>
              <w:t>La Fiscalía General de la Nación puede ser incluida en el marco de la instancia de fiscalización en su respaldo a la articulación institucional y la coordinación necesaria para la protección de los ecosistemas (Sentencia T-361 de 2017, Ley 99 de 1993, CP 1991 art. 250, Ley 489 de 1998). No obstante, en la medida en que su presencia en la instancia no puede ser excedidas sus funciones asignadas, se palntea su inclusión como miembro ocasional. En ese sentido, su labor estára relacionada en la colaboración para la investigación y la sanción penal conforme a minería ilegal, fortalecimiento de rutas de denuncia y articulación con autoridades ambientales.</w:t>
            </w:r>
          </w:p>
        </w:tc>
        <w:tc>
          <w:tcPr>
            <w:tcW w:w="122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B61180" w:rsidP="00631238" w:rsidRDefault="00B61180" w14:paraId="0F834594" w14:textId="77777777">
            <w:pPr>
              <w:spacing w:after="0"/>
              <w:jc w:val="center"/>
            </w:pPr>
            <w:r w:rsidRPr="1AB6159B">
              <w:rPr>
                <w:rFonts w:ascii="Arial Narrow" w:hAnsi="Arial Narrow" w:eastAsia="Arial Narrow" w:cs="Arial Narrow"/>
                <w:color w:val="000000" w:themeColor="text1"/>
              </w:rPr>
              <w:t>Se acoge parcialmente</w:t>
            </w:r>
          </w:p>
        </w:tc>
      </w:tr>
      <w:tr w:rsidR="00B61180" w:rsidTr="00B61180" w14:paraId="1B27151A" w14:textId="77777777">
        <w:trPr>
          <w:trHeight w:val="1680"/>
        </w:trPr>
        <w:tc>
          <w:tcPr>
            <w:tcW w:w="1262" w:type="dxa"/>
            <w:vMerge/>
            <w:tcBorders>
              <w:left w:val="single" w:color="auto" w:sz="0" w:space="0"/>
              <w:right w:val="single" w:color="auto" w:sz="0" w:space="0"/>
            </w:tcBorders>
            <w:vAlign w:val="center"/>
          </w:tcPr>
          <w:p w:rsidR="00B61180" w:rsidP="00631238" w:rsidRDefault="00B61180" w14:paraId="35C2B65D" w14:textId="77777777"/>
        </w:tc>
        <w:tc>
          <w:tcPr>
            <w:tcW w:w="3668" w:type="dxa"/>
            <w:vMerge/>
            <w:tcBorders>
              <w:left w:val="single" w:color="auto" w:sz="0" w:space="0"/>
              <w:right w:val="single" w:color="auto" w:sz="0" w:space="0"/>
            </w:tcBorders>
            <w:vAlign w:val="center"/>
          </w:tcPr>
          <w:p w:rsidR="00B61180" w:rsidP="00631238" w:rsidRDefault="00B61180" w14:paraId="09DAD139" w14:textId="77777777"/>
        </w:tc>
        <w:tc>
          <w:tcPr>
            <w:tcW w:w="2917" w:type="dxa"/>
            <w:tcBorders>
              <w:top w:val="single" w:color="auto" w:sz="4" w:space="0"/>
              <w:left w:val="nil"/>
              <w:bottom w:val="single" w:color="auto" w:sz="4" w:space="0"/>
              <w:right w:val="single" w:color="auto" w:sz="4" w:space="0"/>
            </w:tcBorders>
            <w:tcMar>
              <w:top w:w="15" w:type="dxa"/>
              <w:left w:w="15" w:type="dxa"/>
              <w:right w:w="15" w:type="dxa"/>
            </w:tcMar>
            <w:vAlign w:val="center"/>
          </w:tcPr>
          <w:p w:rsidR="00B61180" w:rsidP="00631238" w:rsidRDefault="00B61180" w14:paraId="2A993D78" w14:textId="77777777">
            <w:pPr>
              <w:spacing w:after="0"/>
              <w:jc w:val="center"/>
            </w:pPr>
            <w:r w:rsidRPr="1AB6159B">
              <w:rPr>
                <w:rFonts w:ascii="Arial Narrow" w:hAnsi="Arial Narrow" w:eastAsia="Arial Narrow" w:cs="Arial Narrow"/>
                <w:color w:val="000000" w:themeColor="text1"/>
              </w:rPr>
              <w:t xml:space="preserve">En función del principio de coordinación y concurrencia establecido por la T-361 de 2017, la Ley 1930 de 2018, ley 99 de 1993, y de la existencia de acuerdos en relación con temas mineros y agrícolas que se relacionan con las funciones definidas para cada uno de estos ministerios conforme a la Ley, se acoge su inclusión dentro del esquema de fiscalización. </w:t>
            </w:r>
          </w:p>
        </w:tc>
        <w:tc>
          <w:tcPr>
            <w:tcW w:w="122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B61180" w:rsidP="00631238" w:rsidRDefault="00B61180" w14:paraId="53D7DC31" w14:textId="77777777">
            <w:pPr>
              <w:spacing w:after="0"/>
              <w:jc w:val="center"/>
            </w:pPr>
            <w:r w:rsidRPr="1AB6159B">
              <w:rPr>
                <w:rFonts w:ascii="Arial Narrow" w:hAnsi="Arial Narrow" w:eastAsia="Arial Narrow" w:cs="Arial Narrow"/>
                <w:color w:val="000000" w:themeColor="text1"/>
              </w:rPr>
              <w:t xml:space="preserve">Se acoge </w:t>
            </w:r>
          </w:p>
        </w:tc>
      </w:tr>
      <w:tr w:rsidR="00B61180" w:rsidTr="00B61180" w14:paraId="46450A80" w14:textId="77777777">
        <w:trPr>
          <w:trHeight w:val="945"/>
        </w:trPr>
        <w:tc>
          <w:tcPr>
            <w:tcW w:w="1262" w:type="dxa"/>
            <w:vMerge/>
            <w:tcBorders>
              <w:left w:val="single" w:color="auto" w:sz="0" w:space="0"/>
              <w:right w:val="single" w:color="auto" w:sz="0" w:space="0"/>
            </w:tcBorders>
            <w:vAlign w:val="center"/>
          </w:tcPr>
          <w:p w:rsidR="00B61180" w:rsidP="00631238" w:rsidRDefault="00B61180" w14:paraId="45613CFE" w14:textId="77777777"/>
        </w:tc>
        <w:tc>
          <w:tcPr>
            <w:tcW w:w="3668" w:type="dxa"/>
            <w:vMerge/>
            <w:tcBorders>
              <w:left w:val="single" w:color="auto" w:sz="0" w:space="0"/>
              <w:right w:val="single" w:color="auto" w:sz="0" w:space="0"/>
            </w:tcBorders>
            <w:vAlign w:val="center"/>
          </w:tcPr>
          <w:p w:rsidR="00B61180" w:rsidP="00631238" w:rsidRDefault="00B61180" w14:paraId="3E6DBF1B" w14:textId="77777777"/>
        </w:tc>
        <w:tc>
          <w:tcPr>
            <w:tcW w:w="2917" w:type="dxa"/>
            <w:tcBorders>
              <w:top w:val="single" w:color="auto" w:sz="4" w:space="0"/>
              <w:left w:val="nil"/>
              <w:bottom w:val="single" w:color="auto" w:sz="4" w:space="0"/>
              <w:right w:val="single" w:color="auto" w:sz="4" w:space="0"/>
            </w:tcBorders>
            <w:tcMar>
              <w:top w:w="15" w:type="dxa"/>
              <w:left w:w="15" w:type="dxa"/>
              <w:right w:w="15" w:type="dxa"/>
            </w:tcMar>
            <w:vAlign w:val="center"/>
          </w:tcPr>
          <w:p w:rsidR="00B61180" w:rsidP="00631238" w:rsidRDefault="00B61180" w14:paraId="134938B1" w14:textId="77777777">
            <w:pPr>
              <w:spacing w:after="0"/>
              <w:jc w:val="center"/>
            </w:pPr>
            <w:r w:rsidRPr="1AB6159B">
              <w:rPr>
                <w:rFonts w:ascii="Arial Narrow" w:hAnsi="Arial Narrow" w:eastAsia="Arial Narrow" w:cs="Arial Narrow"/>
                <w:color w:val="000000" w:themeColor="text1"/>
              </w:rPr>
              <w:t xml:space="preserve">Se acoge la sugerencia de no inclusión del Ministerio Público como miembro permanente de la instancia. No obstante, se mantiene el perfil de La Procuraduría General de la Nación y la Defensoría del Pueblo como miembros que podrán ser invitadas a las sesiones de la instancia de coordinación cuando los asuntos objeto de análisis involucren la garantía de derechos fundamentales o materias </w:t>
            </w:r>
            <w:r w:rsidRPr="1AB6159B">
              <w:rPr>
                <w:rFonts w:ascii="Arial Narrow" w:hAnsi="Arial Narrow" w:eastAsia="Arial Narrow" w:cs="Arial Narrow"/>
                <w:color w:val="000000" w:themeColor="text1"/>
              </w:rPr>
              <w:t>relacionadas con sus competencias constitucionales y legales.</w:t>
            </w:r>
          </w:p>
        </w:tc>
        <w:tc>
          <w:tcPr>
            <w:tcW w:w="122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B61180" w:rsidP="00631238" w:rsidRDefault="00B61180" w14:paraId="7B109585" w14:textId="77777777">
            <w:pPr>
              <w:spacing w:after="0"/>
              <w:jc w:val="center"/>
            </w:pPr>
            <w:r w:rsidRPr="1AB6159B">
              <w:rPr>
                <w:rFonts w:ascii="Arial Narrow" w:hAnsi="Arial Narrow" w:eastAsia="Arial Narrow" w:cs="Arial Narrow"/>
                <w:color w:val="000000" w:themeColor="text1"/>
              </w:rPr>
              <w:t>Se acoge parcialmente</w:t>
            </w:r>
          </w:p>
        </w:tc>
      </w:tr>
      <w:tr w:rsidR="00B61180" w:rsidTr="00B61180" w14:paraId="01537C68" w14:textId="77777777">
        <w:trPr>
          <w:trHeight w:val="2085"/>
        </w:trPr>
        <w:tc>
          <w:tcPr>
            <w:tcW w:w="1262" w:type="dxa"/>
            <w:vMerge/>
            <w:tcBorders>
              <w:left w:val="single" w:color="auto" w:sz="0" w:space="0"/>
              <w:bottom w:val="single" w:color="000000" w:themeColor="text1" w:sz="0" w:space="0"/>
              <w:right w:val="single" w:color="auto" w:sz="0" w:space="0"/>
            </w:tcBorders>
            <w:vAlign w:val="center"/>
          </w:tcPr>
          <w:p w:rsidR="00B61180" w:rsidP="00631238" w:rsidRDefault="00B61180" w14:paraId="61B09BA7" w14:textId="77777777"/>
        </w:tc>
        <w:tc>
          <w:tcPr>
            <w:tcW w:w="3668" w:type="dxa"/>
            <w:vMerge/>
            <w:tcBorders>
              <w:left w:val="single" w:color="auto" w:sz="0" w:space="0"/>
              <w:bottom w:val="single" w:color="000000" w:themeColor="text1" w:sz="0" w:space="0"/>
              <w:right w:val="single" w:color="auto" w:sz="0" w:space="0"/>
            </w:tcBorders>
            <w:vAlign w:val="center"/>
          </w:tcPr>
          <w:p w:rsidR="00B61180" w:rsidP="00631238" w:rsidRDefault="00B61180" w14:paraId="4F5036A0" w14:textId="77777777"/>
        </w:tc>
        <w:tc>
          <w:tcPr>
            <w:tcW w:w="2917" w:type="dxa"/>
            <w:tcBorders>
              <w:top w:val="single" w:color="auto" w:sz="4" w:space="0"/>
              <w:left w:val="nil"/>
              <w:bottom w:val="single" w:color="auto" w:sz="4" w:space="0"/>
              <w:right w:val="single" w:color="auto" w:sz="4" w:space="0"/>
            </w:tcBorders>
            <w:tcMar>
              <w:top w:w="15" w:type="dxa"/>
              <w:left w:w="15" w:type="dxa"/>
              <w:right w:w="15" w:type="dxa"/>
            </w:tcMar>
            <w:vAlign w:val="center"/>
          </w:tcPr>
          <w:p w:rsidR="00B61180" w:rsidP="00631238" w:rsidRDefault="00B61180" w14:paraId="534C739D" w14:textId="77777777">
            <w:pPr>
              <w:spacing w:after="0"/>
              <w:jc w:val="center"/>
            </w:pPr>
            <w:r w:rsidRPr="1AB6159B">
              <w:rPr>
                <w:rFonts w:ascii="Arial Narrow" w:hAnsi="Arial Narrow" w:eastAsia="Arial Narrow" w:cs="Arial Narrow"/>
                <w:color w:val="000000" w:themeColor="text1"/>
              </w:rPr>
              <w:t xml:space="preserve">La función de los gestores de páramos será regulada conforme a lo establecido en la Ley 1930 de 2018 y la resolución 814 de 2026, en las que no se contemplan labores de vigilancia y control. No </w:t>
            </w:r>
            <w:bookmarkStart w:name="_Int_S25ICG3z" w:id="1"/>
            <w:r w:rsidRPr="1AB6159B">
              <w:rPr>
                <w:rFonts w:ascii="Arial Narrow" w:hAnsi="Arial Narrow" w:eastAsia="Arial Narrow" w:cs="Arial Narrow"/>
                <w:color w:val="000000" w:themeColor="text1"/>
              </w:rPr>
              <w:t>obstante</w:t>
            </w:r>
            <w:bookmarkEnd w:id="1"/>
            <w:r w:rsidRPr="1AB6159B">
              <w:rPr>
                <w:rFonts w:ascii="Arial Narrow" w:hAnsi="Arial Narrow" w:eastAsia="Arial Narrow" w:cs="Arial Narrow"/>
                <w:color w:val="000000" w:themeColor="text1"/>
              </w:rPr>
              <w:t xml:space="preserve"> lo anterior, en la resolución se esclarece en su artículo 8 en relación con sus compromisos la necesidad de participar de manera activa y reportar la información requerida para garantizar los procesos de gestión integral del páramo y la correcta aplicación del posterior plan de manejo que se formule para el mismo.</w:t>
            </w:r>
          </w:p>
        </w:tc>
        <w:tc>
          <w:tcPr>
            <w:tcW w:w="122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B61180" w:rsidP="00631238" w:rsidRDefault="00B61180" w14:paraId="36FC1F8F" w14:textId="77777777">
            <w:pPr>
              <w:spacing w:after="0"/>
              <w:jc w:val="center"/>
            </w:pPr>
            <w:r w:rsidRPr="1AB6159B">
              <w:rPr>
                <w:rFonts w:ascii="Arial Narrow" w:hAnsi="Arial Narrow" w:eastAsia="Arial Narrow" w:cs="Arial Narrow"/>
                <w:color w:val="000000" w:themeColor="text1"/>
              </w:rPr>
              <w:t xml:space="preserve">Se acoge </w:t>
            </w:r>
          </w:p>
        </w:tc>
      </w:tr>
      <w:tr w:rsidR="00B61180" w:rsidTr="00B61180" w14:paraId="08DBB908" w14:textId="77777777">
        <w:trPr>
          <w:trHeight w:val="3600"/>
        </w:trPr>
        <w:tc>
          <w:tcPr>
            <w:tcW w:w="1262" w:type="dxa"/>
            <w:vMerge w:val="restart"/>
            <w:tcBorders>
              <w:top w:val="nil"/>
              <w:left w:val="single" w:color="auto" w:sz="4" w:space="0"/>
              <w:bottom w:val="single" w:color="000000" w:themeColor="text1" w:sz="4" w:space="0"/>
              <w:right w:val="single" w:color="auto" w:sz="4" w:space="0"/>
            </w:tcBorders>
            <w:shd w:val="clear" w:color="auto" w:fill="DAF2D0"/>
            <w:tcMar>
              <w:top w:w="15" w:type="dxa"/>
              <w:left w:w="15" w:type="dxa"/>
              <w:right w:w="15" w:type="dxa"/>
            </w:tcMar>
            <w:vAlign w:val="center"/>
          </w:tcPr>
          <w:p w:rsidR="00B61180" w:rsidP="00631238" w:rsidRDefault="00B61180" w14:paraId="7AD851E2" w14:textId="77777777">
            <w:pPr>
              <w:spacing w:after="0"/>
              <w:jc w:val="center"/>
            </w:pPr>
            <w:r w:rsidRPr="1AB6159B">
              <w:rPr>
                <w:rFonts w:ascii="Arial Narrow" w:hAnsi="Arial Narrow" w:eastAsia="Arial Narrow" w:cs="Arial Narrow"/>
                <w:b/>
                <w:bCs/>
                <w:color w:val="000000" w:themeColor="text1"/>
              </w:rPr>
              <w:t>California (S)</w:t>
            </w:r>
          </w:p>
        </w:tc>
        <w:tc>
          <w:tcPr>
            <w:tcW w:w="3668" w:type="dxa"/>
            <w:vMerge w:val="restart"/>
            <w:tcBorders>
              <w:top w:val="nil"/>
              <w:left w:val="single" w:color="auto" w:sz="4" w:space="0"/>
              <w:bottom w:val="single" w:color="000000" w:themeColor="text1" w:sz="4" w:space="0"/>
              <w:right w:val="single" w:color="auto" w:sz="4" w:space="0"/>
            </w:tcBorders>
            <w:tcMar>
              <w:top w:w="15" w:type="dxa"/>
              <w:left w:w="15" w:type="dxa"/>
              <w:right w:w="15" w:type="dxa"/>
            </w:tcMar>
            <w:vAlign w:val="center"/>
          </w:tcPr>
          <w:p w:rsidR="00B61180" w:rsidP="00631238" w:rsidRDefault="00B61180" w14:paraId="57CA3C78" w14:textId="77777777">
            <w:pPr>
              <w:spacing w:after="0"/>
              <w:jc w:val="center"/>
            </w:pPr>
            <w:r w:rsidRPr="1AB6159B">
              <w:rPr>
                <w:rFonts w:ascii="Arial Narrow" w:hAnsi="Arial Narrow" w:eastAsia="Arial Narrow" w:cs="Arial Narrow"/>
              </w:rPr>
              <w:t>Acuerdos sobre principios de sistema de fiscalización:                                                                             -Respeto a nuestra tradicionalidad minera         -Concurrencia       - Participación ciudadana                         -Coordinación                              -Veracidad                        - Integración                             -Inclusión para el Californiano.                                                                                                                                              Acuerdos sobre deberes del Sistema de Fiscalización.                                                                              -Generar confianza         -Transparencia                                         -Vincular a la comunidad en el monitoreo, fiscalización y control social.                                                                                                     Acuerdos sobre actores del Sistema de Fiscalización.    Gobierno, Ministerios, CDMB, Personería de California, Autoridades Locales, Veedurías, Fuerza Pública.                    Acuerdos sobe propuestas para asegurar que el sistema sea eficaz     -Inclusión de la comunidad en todos los procesos.      - Que los guardabosuqes y veeduría sean personas que sean residan en el municipio.</w:t>
            </w:r>
          </w:p>
        </w:tc>
        <w:tc>
          <w:tcPr>
            <w:tcW w:w="2917"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B61180" w:rsidP="00631238" w:rsidRDefault="00B61180" w14:paraId="047EA63B" w14:textId="77777777">
            <w:pPr>
              <w:spacing w:after="0"/>
            </w:pPr>
            <w:r w:rsidRPr="1AB6159B">
              <w:rPr>
                <w:rFonts w:ascii="Arial Narrow" w:hAnsi="Arial Narrow" w:eastAsia="Arial Narrow" w:cs="Arial Narrow"/>
                <w:color w:val="000000" w:themeColor="text1"/>
              </w:rPr>
              <w:t xml:space="preserve">Se acogen los principios y deberes establecidos para el Sistema de Fiscalización, y que no son contrarios o entran en conflicto con lo definido en la Ley 1930 de 2018, la sentencia T-361 de 2017. </w:t>
            </w:r>
          </w:p>
        </w:tc>
        <w:tc>
          <w:tcPr>
            <w:tcW w:w="122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B61180" w:rsidP="00631238" w:rsidRDefault="00B61180" w14:paraId="09BBE8B9" w14:textId="77777777">
            <w:pPr>
              <w:spacing w:after="0"/>
              <w:jc w:val="center"/>
            </w:pPr>
            <w:r w:rsidRPr="1AB6159B">
              <w:rPr>
                <w:rFonts w:ascii="Arial Narrow" w:hAnsi="Arial Narrow" w:eastAsia="Arial Narrow" w:cs="Arial Narrow"/>
                <w:color w:val="000000" w:themeColor="text1"/>
              </w:rPr>
              <w:t xml:space="preserve">Se acoge </w:t>
            </w:r>
          </w:p>
        </w:tc>
      </w:tr>
      <w:tr w:rsidR="00B61180" w:rsidTr="00B61180" w14:paraId="7CD6517A" w14:textId="77777777">
        <w:trPr>
          <w:trHeight w:val="2520"/>
        </w:trPr>
        <w:tc>
          <w:tcPr>
            <w:tcW w:w="1262" w:type="dxa"/>
            <w:vMerge/>
            <w:tcBorders>
              <w:left w:val="single" w:color="auto" w:sz="0" w:space="0"/>
              <w:bottom w:val="single" w:color="000000" w:themeColor="text1" w:sz="0" w:space="0"/>
              <w:right w:val="single" w:color="auto" w:sz="0" w:space="0"/>
            </w:tcBorders>
            <w:vAlign w:val="center"/>
          </w:tcPr>
          <w:p w:rsidR="00B61180" w:rsidP="00631238" w:rsidRDefault="00B61180" w14:paraId="705627BE" w14:textId="77777777"/>
        </w:tc>
        <w:tc>
          <w:tcPr>
            <w:tcW w:w="3668" w:type="dxa"/>
            <w:vMerge/>
            <w:tcBorders>
              <w:left w:val="single" w:color="auto" w:sz="0" w:space="0"/>
              <w:bottom w:val="single" w:color="000000" w:themeColor="text1" w:sz="0" w:space="0"/>
              <w:right w:val="single" w:color="auto" w:sz="0" w:space="0"/>
            </w:tcBorders>
            <w:vAlign w:val="center"/>
          </w:tcPr>
          <w:p w:rsidR="00B61180" w:rsidP="00631238" w:rsidRDefault="00B61180" w14:paraId="343F9AF0" w14:textId="77777777"/>
        </w:tc>
        <w:tc>
          <w:tcPr>
            <w:tcW w:w="2917" w:type="dxa"/>
            <w:tcBorders>
              <w:top w:val="single" w:color="auto" w:sz="4" w:space="0"/>
              <w:left w:val="nil"/>
              <w:bottom w:val="single" w:color="auto" w:sz="4" w:space="0"/>
              <w:right w:val="single" w:color="auto" w:sz="4" w:space="0"/>
            </w:tcBorders>
            <w:tcMar>
              <w:top w:w="15" w:type="dxa"/>
              <w:left w:w="15" w:type="dxa"/>
              <w:right w:w="15" w:type="dxa"/>
            </w:tcMar>
            <w:vAlign w:val="center"/>
          </w:tcPr>
          <w:p w:rsidR="00B61180" w:rsidP="00631238" w:rsidRDefault="00B61180" w14:paraId="0727A6DB" w14:textId="77777777">
            <w:pPr>
              <w:spacing w:after="0"/>
            </w:pPr>
            <w:r w:rsidRPr="1AB6159B">
              <w:rPr>
                <w:rFonts w:ascii="Arial Narrow" w:hAnsi="Arial Narrow" w:eastAsia="Arial Narrow" w:cs="Arial Narrow"/>
                <w:color w:val="000000" w:themeColor="text1"/>
              </w:rPr>
              <w:t xml:space="preserve">En relación con la inclusión y funciones de los gestores de páramos será regulada conforme a lo establecido en la Ley 1930 de 2018 y la resolución 814 de 2026. No obstante lo anterior, en la resolución en el parágrafo 4 del artículo 4 se establece que toda organización que busque inscribirse como gestor de páramo o tenga </w:t>
            </w:r>
            <w:r w:rsidRPr="1AB6159B">
              <w:rPr>
                <w:rFonts w:ascii="Arial Narrow" w:hAnsi="Arial Narrow" w:eastAsia="Arial Narrow" w:cs="Arial Narrow"/>
                <w:color w:val="000000" w:themeColor="text1"/>
              </w:rPr>
              <w:t xml:space="preserve">interés en ello debe ser de carácter local. Así mismo, en la resolución se esclarece en su artículo 8 en relación con sus compromisos la necesidad de participar de manera activa y reportar la información requerida para garantizar los procesos de gestión integral del páramo y la correcta aplicación del posterior plan de manejo que se formule para el mismo. </w:t>
            </w:r>
          </w:p>
        </w:tc>
        <w:tc>
          <w:tcPr>
            <w:tcW w:w="122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B61180" w:rsidP="00631238" w:rsidRDefault="00B61180" w14:paraId="1738E5D8" w14:textId="77777777">
            <w:pPr>
              <w:spacing w:after="0"/>
              <w:jc w:val="center"/>
            </w:pPr>
            <w:r w:rsidRPr="1AB6159B">
              <w:rPr>
                <w:rFonts w:ascii="Arial Narrow" w:hAnsi="Arial Narrow" w:eastAsia="Arial Narrow" w:cs="Arial Narrow"/>
                <w:color w:val="000000" w:themeColor="text1"/>
              </w:rPr>
              <w:t>Se acoge</w:t>
            </w:r>
          </w:p>
        </w:tc>
      </w:tr>
      <w:tr w:rsidR="00B61180" w:rsidTr="00B61180" w14:paraId="18DC5AE5" w14:textId="77777777">
        <w:trPr>
          <w:trHeight w:val="6505"/>
        </w:trPr>
        <w:tc>
          <w:tcPr>
            <w:tcW w:w="1262" w:type="dxa"/>
            <w:vMerge w:val="restart"/>
            <w:tcBorders>
              <w:top w:val="nil"/>
              <w:left w:val="single" w:color="auto" w:sz="4" w:space="0"/>
              <w:bottom w:val="single" w:color="000000" w:themeColor="text1" w:sz="4" w:space="0"/>
              <w:right w:val="single" w:color="auto" w:sz="4" w:space="0"/>
            </w:tcBorders>
            <w:shd w:val="clear" w:color="auto" w:fill="DAF2D0"/>
            <w:tcMar>
              <w:top w:w="15" w:type="dxa"/>
              <w:left w:w="15" w:type="dxa"/>
              <w:right w:w="15" w:type="dxa"/>
            </w:tcMar>
            <w:vAlign w:val="center"/>
          </w:tcPr>
          <w:p w:rsidR="00B61180" w:rsidP="00631238" w:rsidRDefault="00B61180" w14:paraId="4500B67F" w14:textId="77777777">
            <w:pPr>
              <w:spacing w:after="0"/>
              <w:jc w:val="center"/>
            </w:pPr>
            <w:r w:rsidRPr="1AB6159B">
              <w:rPr>
                <w:rFonts w:ascii="Arial Narrow" w:hAnsi="Arial Narrow" w:eastAsia="Arial Narrow" w:cs="Arial Narrow"/>
                <w:b/>
                <w:bCs/>
                <w:color w:val="000000" w:themeColor="text1"/>
              </w:rPr>
              <w:t>Matanza (S)</w:t>
            </w:r>
          </w:p>
        </w:tc>
        <w:tc>
          <w:tcPr>
            <w:tcW w:w="3668" w:type="dxa"/>
            <w:vMerge w:val="restart"/>
            <w:tcBorders>
              <w:top w:val="nil"/>
              <w:left w:val="single" w:color="auto" w:sz="4" w:space="0"/>
              <w:bottom w:val="single" w:color="000000" w:themeColor="text1" w:sz="4" w:space="0"/>
              <w:right w:val="single" w:color="auto" w:sz="4" w:space="0"/>
            </w:tcBorders>
            <w:tcMar>
              <w:top w:w="15" w:type="dxa"/>
              <w:left w:w="15" w:type="dxa"/>
              <w:right w:w="15" w:type="dxa"/>
            </w:tcMar>
            <w:vAlign w:val="center"/>
          </w:tcPr>
          <w:p w:rsidR="00B61180" w:rsidP="00631238" w:rsidRDefault="00B61180" w14:paraId="476605AC" w14:textId="77777777">
            <w:pPr>
              <w:spacing w:after="0"/>
              <w:jc w:val="center"/>
            </w:pPr>
            <w:r w:rsidRPr="1AB6159B">
              <w:rPr>
                <w:rFonts w:ascii="Arial Narrow" w:hAnsi="Arial Narrow" w:eastAsia="Arial Narrow" w:cs="Arial Narrow"/>
                <w:color w:val="000000" w:themeColor="text1"/>
              </w:rPr>
              <w:t>1. Las partes acuerdan, por solicitud de la comunidad que la Fiscalia General de la Nación se incluya en el sistema de fiscalización.                                                                                                        2. La procuraduria pone a consideración de los asistentes integrar al sistema de fiiscalización a la Agencia Nacional de Minería, propuesta que es adoptada. Las partes, en igual sentido, integran al sistema de fiscalización al Ministerio de Minas y Energia y ak Ministerio de Agricultura y Desarrollo Sostenible.                                                                                      3. Las partes acuerdan que el Ministerio Público (defensoria del pueblo, procuraduría General de la Nación y Personerias municipales), no debe estar incluido en la lista de actores del sistema de fiscalización teniendo en cuenta que el ejercicio propio de sus funciones podran realizar la vigilancia de las labores realizadas por el sistema de fiscalización. Propone a su vez crear un canal de fortalecimiento a las veedurías ciudadanas una vez creadas.                                                                                                                            4.Al respecto de los actores que integran el Sitema de Fiscalización, el Ministerio de Ambiente y Desarrollo Sostenible se compromete a revisar con las autoridades locales y regionales con las que se adelantaron los talleres en la fase de consulta e iniciativa, la pertinencia y legalidad de la inclusión en el sistema de fiscalización de los gestores de páramo y las veedurias ciudadanas.</w:t>
            </w:r>
          </w:p>
        </w:tc>
        <w:tc>
          <w:tcPr>
            <w:tcW w:w="2917"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B61180" w:rsidP="00631238" w:rsidRDefault="00B61180" w14:paraId="2FF461AA" w14:textId="77777777">
            <w:pPr>
              <w:spacing w:after="0"/>
            </w:pPr>
            <w:r w:rsidRPr="1AB6159B">
              <w:rPr>
                <w:rFonts w:ascii="Arial Narrow" w:hAnsi="Arial Narrow" w:eastAsia="Arial Narrow" w:cs="Arial Narrow"/>
                <w:color w:val="000000" w:themeColor="text1"/>
              </w:rPr>
              <w:t>La Fiscalía General de la Nación puede ser incluida en el marco de la instancia de fiscalización en su respaldo a la articulación institucional y la coordinación necesaria para la protección de los ecosistemas (Sentencia T-361 de 2017, Ley 99 de 1993, CP 1991 art. 250, Ley 489 de 1998). No obstante, en la medida en que su presencia en la instancia no puede ser excedidas sus funciones asignadas, se plantea su inclusión como miembro ocasional. En ese sentido, su labor estará relacionada en la colaboración para la investigación y la sanción penal conforme a minería ilegal, fortalecimiento de rutas de denuncia y articulación con autoridades ambientales.</w:t>
            </w:r>
          </w:p>
        </w:tc>
        <w:tc>
          <w:tcPr>
            <w:tcW w:w="122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B61180" w:rsidP="00631238" w:rsidRDefault="00B61180" w14:paraId="4D5389DA" w14:textId="77777777">
            <w:pPr>
              <w:spacing w:after="0"/>
              <w:jc w:val="center"/>
            </w:pPr>
            <w:r w:rsidRPr="1AB6159B">
              <w:rPr>
                <w:rFonts w:ascii="Arial Narrow" w:hAnsi="Arial Narrow" w:eastAsia="Arial Narrow" w:cs="Arial Narrow"/>
                <w:color w:val="000000" w:themeColor="text1"/>
              </w:rPr>
              <w:t>Se acoge parcialmente</w:t>
            </w:r>
          </w:p>
        </w:tc>
      </w:tr>
      <w:tr w:rsidR="00B61180" w:rsidTr="00B61180" w14:paraId="64A9E949" w14:textId="77777777">
        <w:trPr>
          <w:trHeight w:val="2520"/>
        </w:trPr>
        <w:tc>
          <w:tcPr>
            <w:tcW w:w="1262" w:type="dxa"/>
            <w:vMerge/>
            <w:tcBorders>
              <w:left w:val="single" w:color="auto" w:sz="0" w:space="0"/>
              <w:bottom w:val="single" w:color="000000" w:themeColor="text1" w:sz="0" w:space="0"/>
              <w:right w:val="single" w:color="auto" w:sz="0" w:space="0"/>
            </w:tcBorders>
            <w:vAlign w:val="center"/>
          </w:tcPr>
          <w:p w:rsidR="00B61180" w:rsidP="00631238" w:rsidRDefault="00B61180" w14:paraId="5897CFD8" w14:textId="77777777"/>
        </w:tc>
        <w:tc>
          <w:tcPr>
            <w:tcW w:w="3668" w:type="dxa"/>
            <w:vMerge/>
            <w:tcBorders>
              <w:left w:val="single" w:color="auto" w:sz="0" w:space="0"/>
              <w:bottom w:val="single" w:color="000000" w:themeColor="text1" w:sz="0" w:space="0"/>
              <w:right w:val="single" w:color="auto" w:sz="0" w:space="0"/>
            </w:tcBorders>
            <w:vAlign w:val="center"/>
          </w:tcPr>
          <w:p w:rsidR="00B61180" w:rsidP="00631238" w:rsidRDefault="00B61180" w14:paraId="530D6457" w14:textId="77777777"/>
        </w:tc>
        <w:tc>
          <w:tcPr>
            <w:tcW w:w="2917" w:type="dxa"/>
            <w:tcBorders>
              <w:top w:val="single" w:color="auto" w:sz="4" w:space="0"/>
              <w:left w:val="nil"/>
              <w:bottom w:val="single" w:color="auto" w:sz="4" w:space="0"/>
              <w:right w:val="single" w:color="auto" w:sz="4" w:space="0"/>
            </w:tcBorders>
            <w:tcMar>
              <w:top w:w="15" w:type="dxa"/>
              <w:left w:w="15" w:type="dxa"/>
              <w:right w:w="15" w:type="dxa"/>
            </w:tcMar>
            <w:vAlign w:val="center"/>
          </w:tcPr>
          <w:p w:rsidR="00B61180" w:rsidP="00631238" w:rsidRDefault="00B61180" w14:paraId="43CF3366" w14:textId="77777777">
            <w:pPr>
              <w:spacing w:after="0"/>
            </w:pPr>
            <w:r w:rsidRPr="1AB6159B">
              <w:rPr>
                <w:rFonts w:ascii="Arial Narrow" w:hAnsi="Arial Narrow" w:eastAsia="Arial Narrow" w:cs="Arial Narrow"/>
                <w:color w:val="000000" w:themeColor="text1"/>
              </w:rPr>
              <w:t xml:space="preserve">En función del principio de coordinación y concurrencia establecido por la T-361 de 2017, la Ley 1930 de 2018, ley 99 de 1993, y de la existencia de acuerdos en relación con sustitución, cierre progresivo y reconversión de actividades mineras y procesos de modificación y gestión de </w:t>
            </w:r>
            <w:r w:rsidRPr="1AB6159B">
              <w:rPr>
                <w:rFonts w:ascii="Arial Narrow" w:hAnsi="Arial Narrow" w:eastAsia="Arial Narrow" w:cs="Arial Narrow"/>
                <w:color w:val="000000" w:themeColor="text1"/>
              </w:rPr>
              <w:t xml:space="preserve">actividades agropecuarias que se relacionan con las funciones definidas para la ANM (Ley 4134 de 2011) y el MADR (Ley 489 de 1998, Decreto 1985 de 2013)  conforme a la Ley, se acoge su inclusión dentro del esquema de fiscalización. </w:t>
            </w:r>
          </w:p>
        </w:tc>
        <w:tc>
          <w:tcPr>
            <w:tcW w:w="122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B61180" w:rsidP="00631238" w:rsidRDefault="00B61180" w14:paraId="7EF3A911" w14:textId="77777777">
            <w:pPr>
              <w:spacing w:after="0"/>
              <w:jc w:val="center"/>
            </w:pPr>
            <w:r w:rsidRPr="1AB6159B">
              <w:rPr>
                <w:rFonts w:ascii="Arial Narrow" w:hAnsi="Arial Narrow" w:eastAsia="Arial Narrow" w:cs="Arial Narrow"/>
                <w:color w:val="000000" w:themeColor="text1"/>
              </w:rPr>
              <w:t>Se acoge</w:t>
            </w:r>
          </w:p>
        </w:tc>
      </w:tr>
      <w:tr w:rsidR="00B61180" w:rsidTr="00B61180" w14:paraId="085E4548" w14:textId="77777777">
        <w:trPr>
          <w:trHeight w:val="1665"/>
        </w:trPr>
        <w:tc>
          <w:tcPr>
            <w:tcW w:w="1262" w:type="dxa"/>
            <w:vMerge/>
            <w:tcBorders>
              <w:left w:val="single" w:color="auto" w:sz="0" w:space="0"/>
              <w:right w:val="single" w:color="auto" w:sz="0" w:space="0"/>
            </w:tcBorders>
            <w:vAlign w:val="center"/>
          </w:tcPr>
          <w:p w:rsidR="00B61180" w:rsidP="00631238" w:rsidRDefault="00B61180" w14:paraId="656775F3" w14:textId="77777777"/>
        </w:tc>
        <w:tc>
          <w:tcPr>
            <w:tcW w:w="3668" w:type="dxa"/>
            <w:vMerge/>
            <w:tcBorders>
              <w:left w:val="single" w:color="auto" w:sz="0" w:space="0"/>
              <w:right w:val="single" w:color="auto" w:sz="0" w:space="0"/>
            </w:tcBorders>
            <w:vAlign w:val="center"/>
          </w:tcPr>
          <w:p w:rsidR="00B61180" w:rsidP="00631238" w:rsidRDefault="00B61180" w14:paraId="4D24E2B6" w14:textId="77777777"/>
        </w:tc>
        <w:tc>
          <w:tcPr>
            <w:tcW w:w="2917" w:type="dxa"/>
            <w:tcBorders>
              <w:top w:val="single" w:color="auto" w:sz="4" w:space="0"/>
              <w:left w:val="nil"/>
              <w:bottom w:val="single" w:color="auto" w:sz="4" w:space="0"/>
              <w:right w:val="single" w:color="auto" w:sz="4" w:space="0"/>
            </w:tcBorders>
            <w:tcMar>
              <w:top w:w="15" w:type="dxa"/>
              <w:left w:w="15" w:type="dxa"/>
              <w:right w:w="15" w:type="dxa"/>
            </w:tcMar>
            <w:vAlign w:val="center"/>
          </w:tcPr>
          <w:p w:rsidR="00B61180" w:rsidP="00631238" w:rsidRDefault="00B61180" w14:paraId="1B1A4E7D" w14:textId="77777777">
            <w:pPr>
              <w:spacing w:after="0"/>
            </w:pPr>
            <w:r w:rsidRPr="1AB6159B">
              <w:rPr>
                <w:rFonts w:ascii="Arial Narrow" w:hAnsi="Arial Narrow" w:eastAsia="Arial Narrow" w:cs="Arial Narrow"/>
                <w:color w:val="000000" w:themeColor="text1"/>
              </w:rPr>
              <w:t>Se acoge de manera parcial la sugerencia de no inclusión del Ministerio Público como miembro permanente de la instancia. No obstante, se mantiene el perfil de La Procuraduría General de la Nación y la Defensoría del Pueblo como miembros que podrán ser invitadas a las sesiones de la instancia de coordinación cuando los asuntos objeto de análisis involucren la garantía de derechos fundamentales o materias relacionadas con sus competencias constitucionales y legales.</w:t>
            </w:r>
          </w:p>
        </w:tc>
        <w:tc>
          <w:tcPr>
            <w:tcW w:w="122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B61180" w:rsidP="00631238" w:rsidRDefault="00B61180" w14:paraId="5B41DA3D" w14:textId="77777777">
            <w:pPr>
              <w:spacing w:after="0"/>
              <w:jc w:val="center"/>
            </w:pPr>
            <w:r w:rsidRPr="1AB6159B">
              <w:rPr>
                <w:rFonts w:ascii="Arial Narrow" w:hAnsi="Arial Narrow" w:eastAsia="Arial Narrow" w:cs="Arial Narrow"/>
                <w:color w:val="000000" w:themeColor="text1"/>
              </w:rPr>
              <w:t>Se acoge parcialmente</w:t>
            </w:r>
          </w:p>
        </w:tc>
      </w:tr>
      <w:tr w:rsidR="00B61180" w:rsidTr="00B61180" w14:paraId="39409E6F" w14:textId="77777777">
        <w:trPr>
          <w:trHeight w:val="1590"/>
        </w:trPr>
        <w:tc>
          <w:tcPr>
            <w:tcW w:w="1262" w:type="dxa"/>
            <w:vMerge/>
            <w:tcBorders>
              <w:left w:val="single" w:color="auto" w:sz="0" w:space="0"/>
              <w:bottom w:val="single" w:color="000000" w:themeColor="text1" w:sz="0" w:space="0"/>
              <w:right w:val="single" w:color="auto" w:sz="0" w:space="0"/>
            </w:tcBorders>
            <w:vAlign w:val="center"/>
          </w:tcPr>
          <w:p w:rsidR="00B61180" w:rsidP="00631238" w:rsidRDefault="00B61180" w14:paraId="23949CF2" w14:textId="77777777"/>
        </w:tc>
        <w:tc>
          <w:tcPr>
            <w:tcW w:w="3668" w:type="dxa"/>
            <w:vMerge/>
            <w:tcBorders>
              <w:left w:val="single" w:color="auto" w:sz="0" w:space="0"/>
              <w:bottom w:val="single" w:color="000000" w:themeColor="text1" w:sz="0" w:space="0"/>
              <w:right w:val="single" w:color="auto" w:sz="0" w:space="0"/>
            </w:tcBorders>
            <w:vAlign w:val="center"/>
          </w:tcPr>
          <w:p w:rsidR="00B61180" w:rsidP="00631238" w:rsidRDefault="00B61180" w14:paraId="1755B5D3" w14:textId="77777777"/>
        </w:tc>
        <w:tc>
          <w:tcPr>
            <w:tcW w:w="2917" w:type="dxa"/>
            <w:tcBorders>
              <w:top w:val="single" w:color="auto" w:sz="4" w:space="0"/>
              <w:left w:val="nil"/>
              <w:bottom w:val="single" w:color="auto" w:sz="4" w:space="0"/>
              <w:right w:val="single" w:color="auto" w:sz="4" w:space="0"/>
            </w:tcBorders>
            <w:tcMar>
              <w:top w:w="15" w:type="dxa"/>
              <w:left w:w="15" w:type="dxa"/>
              <w:right w:w="15" w:type="dxa"/>
            </w:tcMar>
            <w:vAlign w:val="center"/>
          </w:tcPr>
          <w:p w:rsidR="00B61180" w:rsidP="00631238" w:rsidRDefault="00B61180" w14:paraId="4E2D252F" w14:textId="77777777">
            <w:pPr>
              <w:spacing w:after="0"/>
              <w:rPr>
                <w:rFonts w:ascii="Arial Narrow" w:hAnsi="Arial Narrow" w:eastAsia="Arial Narrow" w:cs="Arial Narrow"/>
                <w:color w:val="000000" w:themeColor="text1"/>
              </w:rPr>
            </w:pPr>
            <w:r w:rsidRPr="1AB6159B">
              <w:rPr>
                <w:rFonts w:ascii="Arial Narrow" w:hAnsi="Arial Narrow" w:eastAsia="Arial Narrow" w:cs="Arial Narrow"/>
                <w:color w:val="000000" w:themeColor="text1"/>
              </w:rPr>
              <w:t xml:space="preserve">En relación con la inclusión y funciones de los gestores de páramos será regulada conforme a lo establecido en la Ley 1930 de 2018 y la resolución 814 de 2026. No obstante lo anterior, en la resolución en el parágrafo 4 del artículo 4 se establece que toda organización que busque inscribirse como gestor de páramo o tenga interés en ello debe ser de carácter local. Así mismo, en la resolución se esclarece en su artículo 8 en relación con sus compromisos la necesidad de participar de manera activa y reportar la información requerida para garantizar los procesos de gestión integral del páramo y la correcta aplicación del posterior plan de manejo que se </w:t>
            </w:r>
            <w:r w:rsidRPr="1AB6159B">
              <w:rPr>
                <w:rFonts w:ascii="Arial Narrow" w:hAnsi="Arial Narrow" w:eastAsia="Arial Narrow" w:cs="Arial Narrow"/>
                <w:color w:val="000000" w:themeColor="text1"/>
              </w:rPr>
              <w:t xml:space="preserve">formule para el mismo. </w:t>
            </w:r>
            <w:r>
              <w:br/>
            </w:r>
            <w:r>
              <w:br/>
            </w:r>
            <w:r>
              <w:br/>
            </w:r>
            <w:r>
              <w:br/>
            </w:r>
          </w:p>
        </w:tc>
        <w:tc>
          <w:tcPr>
            <w:tcW w:w="122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B61180" w:rsidP="00631238" w:rsidRDefault="00B61180" w14:paraId="34F86B7E" w14:textId="77777777">
            <w:pPr>
              <w:spacing w:after="0"/>
              <w:jc w:val="center"/>
            </w:pPr>
            <w:r w:rsidRPr="1AB6159B">
              <w:rPr>
                <w:rFonts w:ascii="Arial Narrow" w:hAnsi="Arial Narrow" w:eastAsia="Arial Narrow" w:cs="Arial Narrow"/>
                <w:color w:val="000000" w:themeColor="text1"/>
              </w:rPr>
              <w:t>Se acoge</w:t>
            </w:r>
          </w:p>
        </w:tc>
      </w:tr>
      <w:tr w:rsidR="00B61180" w:rsidTr="00B61180" w14:paraId="2FCBB895" w14:textId="77777777">
        <w:trPr>
          <w:trHeight w:val="6705"/>
        </w:trPr>
        <w:tc>
          <w:tcPr>
            <w:tcW w:w="1262" w:type="dxa"/>
            <w:vMerge w:val="restart"/>
            <w:tcBorders>
              <w:top w:val="nil"/>
              <w:left w:val="single" w:color="auto" w:sz="4" w:space="0"/>
              <w:bottom w:val="single" w:color="000000" w:themeColor="text1" w:sz="4" w:space="0"/>
              <w:right w:val="single" w:color="auto" w:sz="4" w:space="0"/>
            </w:tcBorders>
            <w:shd w:val="clear" w:color="auto" w:fill="DAF2D0"/>
            <w:tcMar>
              <w:top w:w="15" w:type="dxa"/>
              <w:left w:w="15" w:type="dxa"/>
              <w:right w:w="15" w:type="dxa"/>
            </w:tcMar>
            <w:vAlign w:val="center"/>
          </w:tcPr>
          <w:p w:rsidR="00B61180" w:rsidP="00631238" w:rsidRDefault="00B61180" w14:paraId="7F0AE41C" w14:textId="77777777">
            <w:pPr>
              <w:spacing w:after="0"/>
              <w:jc w:val="center"/>
            </w:pPr>
            <w:r w:rsidRPr="1AB6159B">
              <w:rPr>
                <w:rFonts w:ascii="Arial Narrow" w:hAnsi="Arial Narrow" w:eastAsia="Arial Narrow" w:cs="Arial Narrow"/>
                <w:b/>
                <w:bCs/>
                <w:color w:val="000000" w:themeColor="text1"/>
              </w:rPr>
              <w:t>El Playón (S)</w:t>
            </w:r>
          </w:p>
        </w:tc>
        <w:tc>
          <w:tcPr>
            <w:tcW w:w="3668" w:type="dxa"/>
            <w:vMerge w:val="restart"/>
            <w:tcBorders>
              <w:top w:val="nil"/>
              <w:left w:val="single" w:color="auto" w:sz="4" w:space="0"/>
              <w:bottom w:val="single" w:color="000000" w:themeColor="text1" w:sz="4" w:space="0"/>
              <w:right w:val="single" w:color="auto" w:sz="4" w:space="0"/>
            </w:tcBorders>
            <w:tcMar>
              <w:top w:w="15" w:type="dxa"/>
              <w:left w:w="15" w:type="dxa"/>
              <w:right w:w="15" w:type="dxa"/>
            </w:tcMar>
            <w:vAlign w:val="center"/>
          </w:tcPr>
          <w:p w:rsidR="00B61180" w:rsidP="00631238" w:rsidRDefault="00B61180" w14:paraId="5FDDF391" w14:textId="77777777">
            <w:pPr>
              <w:spacing w:after="0"/>
              <w:jc w:val="center"/>
            </w:pPr>
            <w:r w:rsidRPr="1AB6159B">
              <w:rPr>
                <w:rFonts w:ascii="Arial Narrow" w:hAnsi="Arial Narrow" w:eastAsia="Arial Narrow" w:cs="Arial Narrow"/>
                <w:color w:val="000000" w:themeColor="text1"/>
              </w:rPr>
              <w:t xml:space="preserve">1. La comunidad solicita que se integre al sistema de fiscalización la Fiscalia General de la Nación, la Contraloria General de la Republica, el Ministerio de Minas y Energia, el Ministerio de Agricultura y Desarrollo Rural y la Agencia Nacional de Mineria . Gobierno manifiesta que en la medida en la cual estas entidades ya tienen dichas funciones la propuesta se acepta.      Las partes acuerdan que el Ministerio Público (Defensoria del Pueblo, Procuraduria General de la Nación y Personeria Municipal), no debe estar includio en la lista de actores del sistema de fiscalización teniendo en cuenta, que en el ejercicio propio de sus funciones podran realizar la vigilancia de las labores realizadas por el sistema de fiscalización.    Al respecto de los actores que integran el sistema de iscalización, el Ministerio de Ambiete y Desarrollo Sostenible se compromete a revisar con las autoridades y regionales con las qu se adelantaron los talleres en fase de consulta e iniciativa , la pertinencia y legalidad de la inclusión en el sistema de fiscalización de las veedurias ciudadanas. </w:t>
            </w:r>
          </w:p>
        </w:tc>
        <w:tc>
          <w:tcPr>
            <w:tcW w:w="2917"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B61180" w:rsidP="00631238" w:rsidRDefault="00B61180" w14:paraId="60D5E302" w14:textId="77777777">
            <w:pPr>
              <w:spacing w:after="0"/>
            </w:pPr>
            <w:r w:rsidRPr="1AB6159B">
              <w:rPr>
                <w:rFonts w:ascii="Arial Narrow" w:hAnsi="Arial Narrow" w:eastAsia="Arial Narrow" w:cs="Arial Narrow"/>
                <w:color w:val="000000" w:themeColor="text1"/>
              </w:rPr>
              <w:t>La Fiscalía General de la Nación puede ser incluida en el marco de la instancia de fiscalización en su respaldo a la articulación institucional y la coordinación necesaria para la protección de los ecosistemas (Sentencia T-361 de 2017, Ley 99 de 1993, CP 1991 art. 250, Ley 489 de 1998). No obstante, en la medida en que su presencia en la instancia no puede ser excedidas sus funciones asignadas, se plantea su inclusión como miembro ocasional. En ese sentido, su labor estará relacionada en la colaboración para la investigación y la sanción penal conforme a minería ilegal, fortalecimiento de rutas de denuncia y articulación con autoridades ambientales.</w:t>
            </w:r>
          </w:p>
        </w:tc>
        <w:tc>
          <w:tcPr>
            <w:tcW w:w="122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B61180" w:rsidP="00631238" w:rsidRDefault="00B61180" w14:paraId="08729BB2" w14:textId="77777777">
            <w:pPr>
              <w:spacing w:after="0"/>
              <w:jc w:val="center"/>
            </w:pPr>
            <w:r w:rsidRPr="1AB6159B">
              <w:rPr>
                <w:rFonts w:ascii="Arial Narrow" w:hAnsi="Arial Narrow" w:eastAsia="Arial Narrow" w:cs="Arial Narrow"/>
                <w:color w:val="000000" w:themeColor="text1"/>
              </w:rPr>
              <w:t>Se acoge parcialmente</w:t>
            </w:r>
          </w:p>
        </w:tc>
      </w:tr>
      <w:tr w:rsidR="00B61180" w:rsidTr="00B61180" w14:paraId="0258778C" w14:textId="77777777">
        <w:trPr>
          <w:trHeight w:val="410"/>
        </w:trPr>
        <w:tc>
          <w:tcPr>
            <w:tcW w:w="1262" w:type="dxa"/>
            <w:vMerge/>
            <w:tcBorders>
              <w:left w:val="single" w:color="auto" w:sz="0" w:space="0"/>
              <w:right w:val="single" w:color="auto" w:sz="0" w:space="0"/>
            </w:tcBorders>
            <w:vAlign w:val="center"/>
          </w:tcPr>
          <w:p w:rsidR="00B61180" w:rsidP="00631238" w:rsidRDefault="00B61180" w14:paraId="3574F975" w14:textId="77777777"/>
        </w:tc>
        <w:tc>
          <w:tcPr>
            <w:tcW w:w="3668" w:type="dxa"/>
            <w:vMerge/>
            <w:tcBorders>
              <w:left w:val="single" w:color="auto" w:sz="0" w:space="0"/>
              <w:right w:val="single" w:color="auto" w:sz="0" w:space="0"/>
            </w:tcBorders>
            <w:vAlign w:val="center"/>
          </w:tcPr>
          <w:p w:rsidR="00B61180" w:rsidP="00631238" w:rsidRDefault="00B61180" w14:paraId="6392C25C" w14:textId="77777777"/>
        </w:tc>
        <w:tc>
          <w:tcPr>
            <w:tcW w:w="2917" w:type="dxa"/>
            <w:tcBorders>
              <w:top w:val="single" w:color="auto" w:sz="4" w:space="0"/>
              <w:left w:val="nil"/>
              <w:bottom w:val="single" w:color="auto" w:sz="4" w:space="0"/>
              <w:right w:val="single" w:color="auto" w:sz="4" w:space="0"/>
            </w:tcBorders>
            <w:tcMar>
              <w:top w:w="15" w:type="dxa"/>
              <w:left w:w="15" w:type="dxa"/>
              <w:right w:w="15" w:type="dxa"/>
            </w:tcMar>
            <w:vAlign w:val="center"/>
          </w:tcPr>
          <w:p w:rsidR="00B61180" w:rsidP="00631238" w:rsidRDefault="00B61180" w14:paraId="103740DB" w14:textId="77777777">
            <w:pPr>
              <w:spacing w:after="0"/>
            </w:pPr>
            <w:r w:rsidRPr="1AB6159B">
              <w:rPr>
                <w:rFonts w:ascii="Arial Narrow" w:hAnsi="Arial Narrow" w:eastAsia="Arial Narrow" w:cs="Arial Narrow"/>
                <w:color w:val="000000" w:themeColor="text1"/>
              </w:rPr>
              <w:t xml:space="preserve">En función del principio de coordinación y concurrencia establecido por la T-361 de 2017, la Ley 1930 de 2018, ley 99 de 1993, y de la existencia de acuerdos en relación con sustitución, cierre progresivo y reconversión de actividades mineras y procesos de modificación y gestión de actividades agropecuarias que se relacionan con las funciones definidas para la ANM (Ley 4134 de 2011) y el MADR (Ley 489 de 1998, </w:t>
            </w:r>
            <w:r w:rsidRPr="1AB6159B">
              <w:rPr>
                <w:rFonts w:ascii="Arial Narrow" w:hAnsi="Arial Narrow" w:eastAsia="Arial Narrow" w:cs="Arial Narrow"/>
                <w:color w:val="000000" w:themeColor="text1"/>
              </w:rPr>
              <w:t xml:space="preserve">Decreto 1985 de 2013)  conforme a la Ley, se acoge su inclusión dentro del esquema de fiscalización. </w:t>
            </w:r>
          </w:p>
        </w:tc>
        <w:tc>
          <w:tcPr>
            <w:tcW w:w="122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B61180" w:rsidP="00631238" w:rsidRDefault="00B61180" w14:paraId="32BFC795" w14:textId="77777777">
            <w:pPr>
              <w:spacing w:after="0"/>
              <w:jc w:val="center"/>
            </w:pPr>
            <w:r w:rsidRPr="1AB6159B">
              <w:rPr>
                <w:rFonts w:ascii="Arial Narrow" w:hAnsi="Arial Narrow" w:eastAsia="Arial Narrow" w:cs="Arial Narrow"/>
                <w:color w:val="000000" w:themeColor="text1"/>
              </w:rPr>
              <w:t>Se acoge</w:t>
            </w:r>
          </w:p>
        </w:tc>
      </w:tr>
      <w:tr w:rsidR="00B61180" w:rsidTr="00B61180" w14:paraId="118417D0" w14:textId="77777777">
        <w:trPr>
          <w:trHeight w:val="1590"/>
        </w:trPr>
        <w:tc>
          <w:tcPr>
            <w:tcW w:w="1262" w:type="dxa"/>
            <w:vMerge/>
            <w:tcBorders>
              <w:left w:val="single" w:color="auto" w:sz="0" w:space="0"/>
              <w:right w:val="single" w:color="auto" w:sz="0" w:space="0"/>
            </w:tcBorders>
            <w:vAlign w:val="center"/>
          </w:tcPr>
          <w:p w:rsidR="00B61180" w:rsidP="00631238" w:rsidRDefault="00B61180" w14:paraId="16EEF63A" w14:textId="77777777"/>
        </w:tc>
        <w:tc>
          <w:tcPr>
            <w:tcW w:w="3668" w:type="dxa"/>
            <w:vMerge/>
            <w:tcBorders>
              <w:left w:val="single" w:color="auto" w:sz="0" w:space="0"/>
              <w:right w:val="single" w:color="auto" w:sz="0" w:space="0"/>
            </w:tcBorders>
            <w:vAlign w:val="center"/>
          </w:tcPr>
          <w:p w:rsidR="00B61180" w:rsidP="00631238" w:rsidRDefault="00B61180" w14:paraId="6868C3AC" w14:textId="77777777"/>
        </w:tc>
        <w:tc>
          <w:tcPr>
            <w:tcW w:w="2917" w:type="dxa"/>
            <w:tcBorders>
              <w:top w:val="single" w:color="auto" w:sz="4" w:space="0"/>
              <w:left w:val="nil"/>
              <w:bottom w:val="single" w:color="auto" w:sz="4" w:space="0"/>
              <w:right w:val="single" w:color="auto" w:sz="4" w:space="0"/>
            </w:tcBorders>
            <w:tcMar>
              <w:top w:w="15" w:type="dxa"/>
              <w:left w:w="15" w:type="dxa"/>
              <w:right w:w="15" w:type="dxa"/>
            </w:tcMar>
            <w:vAlign w:val="center"/>
          </w:tcPr>
          <w:p w:rsidR="00B61180" w:rsidP="00631238" w:rsidRDefault="00B61180" w14:paraId="16277B99" w14:textId="77777777">
            <w:pPr>
              <w:spacing w:after="0"/>
            </w:pPr>
            <w:r w:rsidRPr="1AB6159B">
              <w:rPr>
                <w:rFonts w:ascii="Arial Narrow" w:hAnsi="Arial Narrow" w:eastAsia="Arial Narrow" w:cs="Arial Narrow"/>
                <w:color w:val="000000" w:themeColor="text1"/>
              </w:rPr>
              <w:t>Se acoge la sugerencia de no inclusión del Ministerio Público como miembro permanente de la instancia. No obstante, se mantiene el perfil de La Procuraduría General de la Nación y la Defensoría del Pueblo como miembros que podrán ser invitadas a las sesiones de la instancia de coordinación cuando los asuntos objeto de análisis involucren la garantía de derechos fundamentales o materias relacionadas con sus competencias constitucionales y legales.</w:t>
            </w:r>
          </w:p>
        </w:tc>
        <w:tc>
          <w:tcPr>
            <w:tcW w:w="122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B61180" w:rsidP="00631238" w:rsidRDefault="00B61180" w14:paraId="03BD5575" w14:textId="77777777">
            <w:pPr>
              <w:spacing w:after="0"/>
              <w:jc w:val="center"/>
            </w:pPr>
            <w:r w:rsidRPr="1AB6159B">
              <w:rPr>
                <w:rFonts w:ascii="Arial Narrow" w:hAnsi="Arial Narrow" w:eastAsia="Arial Narrow" w:cs="Arial Narrow"/>
                <w:color w:val="000000" w:themeColor="text1"/>
              </w:rPr>
              <w:t>Se acoge parcialmente</w:t>
            </w:r>
          </w:p>
        </w:tc>
      </w:tr>
      <w:tr w:rsidR="00B61180" w:rsidTr="00B61180" w14:paraId="03FFF4B5" w14:textId="77777777">
        <w:trPr>
          <w:trHeight w:val="1935"/>
        </w:trPr>
        <w:tc>
          <w:tcPr>
            <w:tcW w:w="1262" w:type="dxa"/>
            <w:vMerge/>
            <w:tcBorders>
              <w:left w:val="single" w:color="auto" w:sz="0" w:space="0"/>
              <w:bottom w:val="single" w:color="000000" w:themeColor="text1" w:sz="0" w:space="0"/>
              <w:right w:val="single" w:color="auto" w:sz="0" w:space="0"/>
            </w:tcBorders>
            <w:vAlign w:val="center"/>
          </w:tcPr>
          <w:p w:rsidR="00B61180" w:rsidP="00631238" w:rsidRDefault="00B61180" w14:paraId="139243C8" w14:textId="77777777"/>
        </w:tc>
        <w:tc>
          <w:tcPr>
            <w:tcW w:w="3668" w:type="dxa"/>
            <w:vMerge/>
            <w:tcBorders>
              <w:left w:val="single" w:color="auto" w:sz="0" w:space="0"/>
              <w:bottom w:val="single" w:color="000000" w:themeColor="text1" w:sz="0" w:space="0"/>
              <w:right w:val="single" w:color="auto" w:sz="0" w:space="0"/>
            </w:tcBorders>
            <w:vAlign w:val="center"/>
          </w:tcPr>
          <w:p w:rsidR="00B61180" w:rsidP="00631238" w:rsidRDefault="00B61180" w14:paraId="6D3F127D" w14:textId="77777777"/>
        </w:tc>
        <w:tc>
          <w:tcPr>
            <w:tcW w:w="2917" w:type="dxa"/>
            <w:tcBorders>
              <w:top w:val="single" w:color="auto" w:sz="4" w:space="0"/>
              <w:left w:val="nil"/>
              <w:bottom w:val="single" w:color="auto" w:sz="4" w:space="0"/>
              <w:right w:val="single" w:color="auto" w:sz="4" w:space="0"/>
            </w:tcBorders>
            <w:tcMar>
              <w:top w:w="15" w:type="dxa"/>
              <w:left w:w="15" w:type="dxa"/>
              <w:right w:w="15" w:type="dxa"/>
            </w:tcMar>
            <w:vAlign w:val="center"/>
          </w:tcPr>
          <w:p w:rsidR="00B61180" w:rsidP="00631238" w:rsidRDefault="00B61180" w14:paraId="27B54683" w14:textId="77777777">
            <w:pPr>
              <w:spacing w:after="0"/>
            </w:pPr>
            <w:r w:rsidRPr="1AB6159B">
              <w:rPr>
                <w:rFonts w:ascii="Arial Narrow" w:hAnsi="Arial Narrow" w:eastAsia="Arial Narrow" w:cs="Arial Narrow"/>
                <w:color w:val="000000" w:themeColor="text1"/>
              </w:rPr>
              <w:t xml:space="preserve">En relación con la inclusión y funciones de los gestores de páramos será regulada conforme a lo establecido en la Ley 1930 de 2018 y la resolución 814 de 2026. No obstante lo anterior, en la resolución en el parágrafo 4 del artículo 4 se establece que toda organización que busque inscribirse como gestor de páramo o tenga interés en ello debe ser de carácter local. Así mismo, en la resolución se esclarece en su artículo 8 en relación con sus compromisos la necesidad de participar de manera activa y reportar la información requerida para garantizar los procesos de gestión integral del páramo y la correcta aplicación del posterior plan de manejo que se formule para el mismo. </w:t>
            </w:r>
          </w:p>
        </w:tc>
        <w:tc>
          <w:tcPr>
            <w:tcW w:w="122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B61180" w:rsidP="00631238" w:rsidRDefault="00B61180" w14:paraId="705EE83A" w14:textId="77777777">
            <w:pPr>
              <w:spacing w:after="0"/>
              <w:jc w:val="center"/>
            </w:pPr>
            <w:r w:rsidRPr="1AB6159B">
              <w:rPr>
                <w:rFonts w:ascii="Arial Narrow" w:hAnsi="Arial Narrow" w:eastAsia="Arial Narrow" w:cs="Arial Narrow"/>
                <w:color w:val="000000" w:themeColor="text1"/>
              </w:rPr>
              <w:t xml:space="preserve">Se acoge </w:t>
            </w:r>
          </w:p>
        </w:tc>
      </w:tr>
      <w:tr w:rsidR="00B61180" w:rsidTr="00B61180" w14:paraId="0CDCE042" w14:textId="77777777">
        <w:trPr>
          <w:trHeight w:val="1544"/>
        </w:trPr>
        <w:tc>
          <w:tcPr>
            <w:tcW w:w="1262" w:type="dxa"/>
            <w:vMerge w:val="restart"/>
            <w:tcBorders>
              <w:top w:val="nil"/>
              <w:left w:val="single" w:color="auto" w:sz="4" w:space="0"/>
              <w:bottom w:val="single" w:color="000000" w:themeColor="text1" w:sz="4" w:space="0"/>
              <w:right w:val="single" w:color="auto" w:sz="4" w:space="0"/>
            </w:tcBorders>
            <w:shd w:val="clear" w:color="auto" w:fill="DAF2D0"/>
            <w:tcMar>
              <w:top w:w="15" w:type="dxa"/>
              <w:left w:w="15" w:type="dxa"/>
              <w:right w:w="15" w:type="dxa"/>
            </w:tcMar>
            <w:vAlign w:val="center"/>
          </w:tcPr>
          <w:p w:rsidR="00B61180" w:rsidP="00631238" w:rsidRDefault="00B61180" w14:paraId="0D5B6C25" w14:textId="77777777">
            <w:pPr>
              <w:spacing w:after="0"/>
              <w:jc w:val="center"/>
            </w:pPr>
            <w:r w:rsidRPr="1AB6159B">
              <w:rPr>
                <w:rFonts w:ascii="Arial Narrow" w:hAnsi="Arial Narrow" w:eastAsia="Arial Narrow" w:cs="Arial Narrow"/>
                <w:color w:val="000000" w:themeColor="text1"/>
              </w:rPr>
              <w:t>Charta (S)</w:t>
            </w:r>
          </w:p>
        </w:tc>
        <w:tc>
          <w:tcPr>
            <w:tcW w:w="3668" w:type="dxa"/>
            <w:vMerge w:val="restart"/>
            <w:tcBorders>
              <w:top w:val="nil"/>
              <w:left w:val="single" w:color="auto" w:sz="4" w:space="0"/>
              <w:bottom w:val="single" w:color="000000" w:themeColor="text1" w:sz="4" w:space="0"/>
              <w:right w:val="single" w:color="auto" w:sz="4" w:space="0"/>
            </w:tcBorders>
            <w:tcMar>
              <w:top w:w="15" w:type="dxa"/>
              <w:left w:w="15" w:type="dxa"/>
              <w:right w:w="15" w:type="dxa"/>
            </w:tcMar>
            <w:vAlign w:val="center"/>
          </w:tcPr>
          <w:p w:rsidR="00B61180" w:rsidP="00631238" w:rsidRDefault="00B61180" w14:paraId="07507740" w14:textId="77777777">
            <w:pPr>
              <w:spacing w:after="0"/>
              <w:jc w:val="center"/>
            </w:pPr>
            <w:r w:rsidRPr="1AB6159B">
              <w:rPr>
                <w:rFonts w:ascii="Arial Narrow" w:hAnsi="Arial Narrow" w:eastAsia="Arial Narrow" w:cs="Arial Narrow"/>
                <w:color w:val="000000" w:themeColor="text1"/>
              </w:rPr>
              <w:t xml:space="preserve">Ineludible No. 3 - Sistema de fiscalización.                                                                                                      1. Hubo consenso en los actores propuestos del sistema de fiscalización yse solicita dar prioridad al principio de igualdad e inclusión.                                                                                               2. Hya acuerdo en que el sistema de </w:t>
            </w:r>
            <w:r w:rsidRPr="1AB6159B">
              <w:rPr>
                <w:rFonts w:ascii="Arial Narrow" w:hAnsi="Arial Narrow" w:eastAsia="Arial Narrow" w:cs="Arial Narrow"/>
                <w:color w:val="000000" w:themeColor="text1"/>
              </w:rPr>
              <w:t>fiscalización debe procurar que el ejercicio de las autoridades ambientales priorice un enfoque preventivo, pedagógico y los acuerdos entre la comunidad y las autoridades, antes de acudir a las sanciones.                                                       3.Que se promueva la constitución de veedurias cuyos objetos esten encaminados a la veeduria del páramo que integre a los habitantes tradicionales del páramo.                            Aunque no hace parte del Sistem de Fiscalización, se deja constancia que los participantes de las dos mesas hacieron claridad que no los representa ninguna organización externa al municipio.</w:t>
            </w:r>
          </w:p>
        </w:tc>
        <w:tc>
          <w:tcPr>
            <w:tcW w:w="2917"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B61180" w:rsidP="00631238" w:rsidRDefault="00B61180" w14:paraId="34FB8162" w14:textId="77777777">
            <w:pPr>
              <w:spacing w:after="0"/>
            </w:pPr>
            <w:r w:rsidRPr="1AB6159B">
              <w:rPr>
                <w:rFonts w:ascii="Arial Narrow" w:hAnsi="Arial Narrow" w:eastAsia="Arial Narrow" w:cs="Arial Narrow"/>
                <w:color w:val="000000" w:themeColor="text1"/>
              </w:rPr>
              <w:t>Se acoge el consenso alcanzado y las solicitudes de prioridad</w:t>
            </w:r>
          </w:p>
        </w:tc>
        <w:tc>
          <w:tcPr>
            <w:tcW w:w="122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B61180" w:rsidP="00631238" w:rsidRDefault="00B61180" w14:paraId="2F9F49BF" w14:textId="77777777">
            <w:pPr>
              <w:spacing w:after="0"/>
              <w:jc w:val="center"/>
            </w:pPr>
            <w:r w:rsidRPr="1AB6159B">
              <w:rPr>
                <w:rFonts w:ascii="Arial Narrow" w:hAnsi="Arial Narrow" w:eastAsia="Arial Narrow" w:cs="Arial Narrow"/>
                <w:color w:val="000000" w:themeColor="text1"/>
              </w:rPr>
              <w:t xml:space="preserve">Se acoge </w:t>
            </w:r>
          </w:p>
        </w:tc>
      </w:tr>
      <w:tr w:rsidR="00B61180" w:rsidTr="00B61180" w14:paraId="76495E1F" w14:textId="77777777">
        <w:trPr>
          <w:trHeight w:val="1935"/>
        </w:trPr>
        <w:tc>
          <w:tcPr>
            <w:tcW w:w="1262" w:type="dxa"/>
            <w:vMerge/>
            <w:tcBorders>
              <w:left w:val="single" w:color="auto" w:sz="0" w:space="0"/>
              <w:right w:val="single" w:color="auto" w:sz="0" w:space="0"/>
            </w:tcBorders>
            <w:vAlign w:val="center"/>
          </w:tcPr>
          <w:p w:rsidR="00B61180" w:rsidP="00631238" w:rsidRDefault="00B61180" w14:paraId="1093FC7A" w14:textId="77777777"/>
        </w:tc>
        <w:tc>
          <w:tcPr>
            <w:tcW w:w="3668" w:type="dxa"/>
            <w:vMerge/>
            <w:tcBorders>
              <w:left w:val="single" w:color="auto" w:sz="0" w:space="0"/>
              <w:right w:val="single" w:color="auto" w:sz="0" w:space="0"/>
            </w:tcBorders>
            <w:vAlign w:val="center"/>
          </w:tcPr>
          <w:p w:rsidR="00B61180" w:rsidP="00631238" w:rsidRDefault="00B61180" w14:paraId="18498626" w14:textId="77777777"/>
        </w:tc>
        <w:tc>
          <w:tcPr>
            <w:tcW w:w="2917" w:type="dxa"/>
            <w:tcBorders>
              <w:top w:val="single" w:color="auto" w:sz="4" w:space="0"/>
              <w:left w:val="nil"/>
              <w:bottom w:val="single" w:color="auto" w:sz="4" w:space="0"/>
              <w:right w:val="single" w:color="auto" w:sz="4" w:space="0"/>
            </w:tcBorders>
            <w:tcMar>
              <w:top w:w="15" w:type="dxa"/>
              <w:left w:w="15" w:type="dxa"/>
              <w:right w:w="15" w:type="dxa"/>
            </w:tcMar>
            <w:vAlign w:val="center"/>
          </w:tcPr>
          <w:p w:rsidR="00B61180" w:rsidP="00631238" w:rsidRDefault="00B61180" w14:paraId="57AC31A0" w14:textId="77777777">
            <w:pPr>
              <w:spacing w:after="0"/>
            </w:pPr>
            <w:r w:rsidRPr="1AB6159B">
              <w:rPr>
                <w:rFonts w:ascii="Arial Narrow" w:hAnsi="Arial Narrow" w:eastAsia="Arial Narrow" w:cs="Arial Narrow"/>
                <w:color w:val="000000" w:themeColor="text1"/>
              </w:rPr>
              <w:t>Se acoge el acuerdo de que se privilegiará mecanismos de prevención, acompañamiento y seguimiento para facilitar el cumplimiento de los acuerdos, procurando la solución temprana de las situaciones de incumplimiento. Lo anterior se entiende sin perjuicio del ejercicio de las competencias de inspección, vigilancia, control y potestad sancionatoria de las autoridades competentes, conforme al ordenamiento jurídico.</w:t>
            </w:r>
          </w:p>
        </w:tc>
        <w:tc>
          <w:tcPr>
            <w:tcW w:w="122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B61180" w:rsidP="00631238" w:rsidRDefault="00B61180" w14:paraId="03F8AE75" w14:textId="77777777">
            <w:pPr>
              <w:spacing w:after="0"/>
              <w:jc w:val="center"/>
            </w:pPr>
            <w:r w:rsidRPr="1AB6159B">
              <w:rPr>
                <w:rFonts w:ascii="Arial Narrow" w:hAnsi="Arial Narrow" w:eastAsia="Arial Narrow" w:cs="Arial Narrow"/>
                <w:color w:val="000000" w:themeColor="text1"/>
              </w:rPr>
              <w:t>Se acoge</w:t>
            </w:r>
          </w:p>
        </w:tc>
      </w:tr>
      <w:tr w:rsidR="00B61180" w:rsidTr="00B61180" w14:paraId="02604644" w14:textId="77777777">
        <w:trPr>
          <w:trHeight w:val="2190"/>
        </w:trPr>
        <w:tc>
          <w:tcPr>
            <w:tcW w:w="1262" w:type="dxa"/>
            <w:vMerge/>
            <w:tcBorders>
              <w:left w:val="single" w:color="auto" w:sz="0" w:space="0"/>
              <w:bottom w:val="single" w:color="000000" w:themeColor="text1" w:sz="0" w:space="0"/>
              <w:right w:val="single" w:color="auto" w:sz="0" w:space="0"/>
            </w:tcBorders>
            <w:vAlign w:val="center"/>
          </w:tcPr>
          <w:p w:rsidR="00B61180" w:rsidP="00631238" w:rsidRDefault="00B61180" w14:paraId="77ACBE20" w14:textId="77777777"/>
        </w:tc>
        <w:tc>
          <w:tcPr>
            <w:tcW w:w="3668" w:type="dxa"/>
            <w:vMerge/>
            <w:tcBorders>
              <w:left w:val="single" w:color="auto" w:sz="0" w:space="0"/>
              <w:bottom w:val="single" w:color="000000" w:themeColor="text1" w:sz="0" w:space="0"/>
              <w:right w:val="single" w:color="auto" w:sz="0" w:space="0"/>
            </w:tcBorders>
            <w:vAlign w:val="center"/>
          </w:tcPr>
          <w:p w:rsidR="00B61180" w:rsidP="00631238" w:rsidRDefault="00B61180" w14:paraId="3906BCFF" w14:textId="77777777"/>
        </w:tc>
        <w:tc>
          <w:tcPr>
            <w:tcW w:w="2917" w:type="dxa"/>
            <w:tcBorders>
              <w:top w:val="single" w:color="auto" w:sz="4" w:space="0"/>
              <w:left w:val="nil"/>
              <w:bottom w:val="single" w:color="auto" w:sz="4" w:space="0"/>
              <w:right w:val="single" w:color="auto" w:sz="4" w:space="0"/>
            </w:tcBorders>
            <w:tcMar>
              <w:top w:w="15" w:type="dxa"/>
              <w:left w:w="15" w:type="dxa"/>
              <w:right w:w="15" w:type="dxa"/>
            </w:tcMar>
            <w:vAlign w:val="center"/>
          </w:tcPr>
          <w:p w:rsidR="00B61180" w:rsidP="00631238" w:rsidRDefault="00B61180" w14:paraId="528D67B7" w14:textId="77777777">
            <w:pPr>
              <w:spacing w:after="0"/>
            </w:pPr>
            <w:r w:rsidRPr="1AB6159B">
              <w:rPr>
                <w:rFonts w:ascii="Arial Narrow" w:hAnsi="Arial Narrow" w:eastAsia="Arial Narrow" w:cs="Arial Narrow"/>
                <w:color w:val="000000" w:themeColor="text1"/>
              </w:rPr>
              <w:t xml:space="preserve">En relación con la inclusión y funciones de los gestores de páramos será regulada conforme a lo establecido en la Ley 1930 de 2018 y la resolución 814 de 2026. No obstante lo anterior, en la resolución en el parágrafo 4 del artículo 4 se establece que toda organización que busque inscribirse como gestor de páramo o tenga interés en ello debe ser de carácter local. Así mismo, en la resolución se esclarece en su artículo 8 en relación con sus compromisos la necesidad de participar de manera activa y reportar la información requerida para garantizar los procesos de gestión integral del páramo y la correcta aplicación del posterior plan de manejo que se formule para el mismo. </w:t>
            </w:r>
            <w:r>
              <w:br/>
            </w:r>
            <w:r>
              <w:br/>
            </w:r>
            <w:r w:rsidRPr="1AB6159B">
              <w:rPr>
                <w:rFonts w:ascii="Arial Narrow" w:hAnsi="Arial Narrow" w:eastAsia="Arial Narrow" w:cs="Arial Narrow"/>
                <w:color w:val="000000" w:themeColor="text1"/>
              </w:rPr>
              <w:t xml:space="preserve">Es de recordar que las veedurías ciudadanas son mecanismos de participación y control social creadas por los ciudadanos conforme a la Ley 850 de 2003, aunque el Ministerio de Ambiente y Desarrollo sostenible no puede crearlas o dirigirlas, no desconoce que el sistema de fiscalización </w:t>
            </w:r>
            <w:r w:rsidRPr="1AB6159B">
              <w:rPr>
                <w:rFonts w:ascii="Arial Narrow" w:hAnsi="Arial Narrow" w:eastAsia="Arial Narrow" w:cs="Arial Narrow"/>
                <w:color w:val="000000" w:themeColor="text1"/>
              </w:rPr>
              <w:t xml:space="preserve">podrá articular y facilitar el ejercicio de las veedurías ciudadanas que se constituyan conforme a la Ley 850 de 2003. </w:t>
            </w:r>
          </w:p>
        </w:tc>
        <w:tc>
          <w:tcPr>
            <w:tcW w:w="122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B61180" w:rsidP="00631238" w:rsidRDefault="00B61180" w14:paraId="15D0B299" w14:textId="77777777">
            <w:pPr>
              <w:spacing w:after="0"/>
              <w:jc w:val="center"/>
            </w:pPr>
            <w:r w:rsidRPr="1AB6159B">
              <w:rPr>
                <w:rFonts w:ascii="Arial Narrow" w:hAnsi="Arial Narrow" w:eastAsia="Arial Narrow" w:cs="Arial Narrow"/>
                <w:color w:val="000000" w:themeColor="text1"/>
              </w:rPr>
              <w:t>Se acoge parcialmente</w:t>
            </w:r>
          </w:p>
        </w:tc>
      </w:tr>
      <w:tr w:rsidR="00B61180" w:rsidTr="00B61180" w14:paraId="3FB2B850" w14:textId="77777777">
        <w:trPr>
          <w:trHeight w:val="5655"/>
        </w:trPr>
        <w:tc>
          <w:tcPr>
            <w:tcW w:w="1262" w:type="dxa"/>
            <w:vMerge w:val="restart"/>
            <w:tcBorders>
              <w:top w:val="nil"/>
              <w:left w:val="single" w:color="auto" w:sz="4" w:space="0"/>
              <w:bottom w:val="single" w:color="000000" w:themeColor="text1" w:sz="4" w:space="0"/>
              <w:right w:val="single" w:color="auto" w:sz="4" w:space="0"/>
            </w:tcBorders>
            <w:shd w:val="clear" w:color="auto" w:fill="DAF2D0"/>
            <w:tcMar>
              <w:top w:w="15" w:type="dxa"/>
              <w:left w:w="15" w:type="dxa"/>
              <w:right w:w="15" w:type="dxa"/>
            </w:tcMar>
            <w:vAlign w:val="center"/>
          </w:tcPr>
          <w:p w:rsidR="00B61180" w:rsidP="00631238" w:rsidRDefault="00B61180" w14:paraId="42745866" w14:textId="77777777">
            <w:pPr>
              <w:spacing w:after="0"/>
              <w:jc w:val="center"/>
            </w:pPr>
            <w:r w:rsidRPr="1AB6159B">
              <w:rPr>
                <w:rFonts w:ascii="Arial Narrow" w:hAnsi="Arial Narrow" w:eastAsia="Arial Narrow" w:cs="Arial Narrow"/>
                <w:b/>
                <w:bCs/>
                <w:color w:val="000000" w:themeColor="text1"/>
              </w:rPr>
              <w:t>Piedecuesta (S)</w:t>
            </w:r>
          </w:p>
        </w:tc>
        <w:tc>
          <w:tcPr>
            <w:tcW w:w="3668" w:type="dxa"/>
            <w:vMerge w:val="restart"/>
            <w:tcBorders>
              <w:top w:val="nil"/>
              <w:left w:val="single" w:color="auto" w:sz="4" w:space="0"/>
              <w:bottom w:val="single" w:color="000000" w:themeColor="text1" w:sz="4" w:space="0"/>
              <w:right w:val="single" w:color="auto" w:sz="4" w:space="0"/>
            </w:tcBorders>
            <w:tcMar>
              <w:top w:w="15" w:type="dxa"/>
              <w:left w:w="15" w:type="dxa"/>
              <w:right w:w="15" w:type="dxa"/>
            </w:tcMar>
            <w:vAlign w:val="center"/>
          </w:tcPr>
          <w:p w:rsidR="00B61180" w:rsidP="00631238" w:rsidRDefault="00B61180" w14:paraId="047015A8" w14:textId="77777777">
            <w:pPr>
              <w:spacing w:after="0"/>
              <w:jc w:val="center"/>
            </w:pPr>
            <w:r w:rsidRPr="1AB6159B">
              <w:rPr>
                <w:rFonts w:ascii="Arial Narrow" w:hAnsi="Arial Narrow" w:eastAsia="Arial Narrow" w:cs="Arial Narrow"/>
                <w:color w:val="000000" w:themeColor="text1"/>
              </w:rPr>
              <w:t xml:space="preserve">Los acuerdos a los que llega el auditorio son:                                                    Mediante dos mesas de trabajo y deliberación se dejaron consignados aspectos destacados para el ineludible 3, afirmando que los consensos razonados consituyen la base fundamental para motivar la decisión administrativa de delimitación del Páramo Santurban, razón por la cual se redactaron propuestas comunitarias, dejando constancia que el Ministerio de Ambiente y Desarrollo Sostenible las acepta y en consecuencia se declaran conertados los siguientes:                                 Existe acuerdo con la propuesta del sistema de fiscalización compuesto por actores, principios, deberes y mecanismos de conformidad con la visión y sustento comunitario integrando los siguientes atributos:                                                                                                                     - Incluir como principios la comunicación, socialización y transparencia a traves de la creación de un banco de datos de cada una de las instituciones que permita la democratización de la información para la acción de fiscalizar.                                                             -Los actores sociales que tradicionalmente hayan habitado el páramo se constituirán como gestores de páramo y veedores para la debida fiscalización de la resolución.                                                                         - Fortalecimiento con apoyo y financiación par ala creación o constitutución de las veedurias con enfoque especial, tales como, veedurias campesinas, niños y niñas gestores de páramo, mujeres gestores de  páramo y redes de veeduria veredales y </w:t>
            </w:r>
            <w:r w:rsidRPr="1AB6159B">
              <w:rPr>
                <w:rFonts w:ascii="Arial Narrow" w:hAnsi="Arial Narrow" w:eastAsia="Arial Narrow" w:cs="Arial Narrow"/>
                <w:color w:val="000000" w:themeColor="text1"/>
              </w:rPr>
              <w:t>municipales par ala fiscalización de la gestión de la resolución.                                                                                              -Formación, capacitación y transferencia de conocimiento para el fortalecimiento de las organizaciones comunitarias para la fiscalización de la gestión de la resolución.                                  -Las comunidades que habitan los páramos y las áreas de inmediaciones e influencia seran llamadas a participar con incidencia y decisión en los programas y proyectos                                             - Las autoridades deberan acompañar, capacitar, garantizar la asistencia técnica, transferencia de conocimiento y nuevas tecnologias, garantizando las remuneraciones necesarias para los actores sociales que fortalezcan los procesos de control social, comunitario e incidencia de las decisiones politicas del nivel nacional, departamental y municipal.            - Sobre este ineludible NO HUBO DISENSOS.</w:t>
            </w:r>
          </w:p>
        </w:tc>
        <w:tc>
          <w:tcPr>
            <w:tcW w:w="2917"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B61180" w:rsidP="00631238" w:rsidRDefault="00B61180" w14:paraId="5AFB74EB" w14:textId="77777777">
            <w:pPr>
              <w:spacing w:after="0"/>
            </w:pPr>
            <w:r w:rsidRPr="1AB6159B">
              <w:rPr>
                <w:rFonts w:ascii="Arial Narrow" w:hAnsi="Arial Narrow" w:eastAsia="Arial Narrow" w:cs="Arial Narrow"/>
                <w:color w:val="000000" w:themeColor="text1"/>
              </w:rPr>
              <w:t xml:space="preserve">Se acoge el consenso alcanzado y las solicitudes alrededor de los principios y el sistema de fiscalización presentado. </w:t>
            </w:r>
          </w:p>
        </w:tc>
        <w:tc>
          <w:tcPr>
            <w:tcW w:w="122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B61180" w:rsidP="00631238" w:rsidRDefault="00B61180" w14:paraId="7BC13F9F" w14:textId="77777777">
            <w:pPr>
              <w:spacing w:after="0"/>
              <w:jc w:val="center"/>
            </w:pPr>
            <w:r w:rsidRPr="1AB6159B">
              <w:rPr>
                <w:rFonts w:ascii="Arial Narrow" w:hAnsi="Arial Narrow" w:eastAsia="Arial Narrow" w:cs="Arial Narrow"/>
                <w:color w:val="000000" w:themeColor="text1"/>
              </w:rPr>
              <w:t xml:space="preserve">Se acoge </w:t>
            </w:r>
          </w:p>
        </w:tc>
      </w:tr>
      <w:tr w:rsidR="00B61180" w:rsidTr="00B61180" w14:paraId="44E0475C" w14:textId="77777777">
        <w:trPr>
          <w:trHeight w:val="2190"/>
        </w:trPr>
        <w:tc>
          <w:tcPr>
            <w:tcW w:w="1262" w:type="dxa"/>
            <w:vMerge/>
            <w:tcBorders>
              <w:left w:val="single" w:color="auto" w:sz="0" w:space="0"/>
              <w:right w:val="single" w:color="auto" w:sz="0" w:space="0"/>
            </w:tcBorders>
            <w:vAlign w:val="center"/>
          </w:tcPr>
          <w:p w:rsidR="00B61180" w:rsidP="00631238" w:rsidRDefault="00B61180" w14:paraId="4655B126" w14:textId="77777777"/>
        </w:tc>
        <w:tc>
          <w:tcPr>
            <w:tcW w:w="3668" w:type="dxa"/>
            <w:vMerge/>
            <w:tcBorders>
              <w:left w:val="single" w:color="auto" w:sz="0" w:space="0"/>
              <w:right w:val="single" w:color="auto" w:sz="0" w:space="0"/>
            </w:tcBorders>
            <w:vAlign w:val="center"/>
          </w:tcPr>
          <w:p w:rsidR="00B61180" w:rsidP="00631238" w:rsidRDefault="00B61180" w14:paraId="6079E1B5" w14:textId="77777777"/>
        </w:tc>
        <w:tc>
          <w:tcPr>
            <w:tcW w:w="2917" w:type="dxa"/>
            <w:tcBorders>
              <w:top w:val="single" w:color="auto" w:sz="4" w:space="0"/>
              <w:left w:val="nil"/>
              <w:bottom w:val="single" w:color="auto" w:sz="4" w:space="0"/>
              <w:right w:val="single" w:color="auto" w:sz="4" w:space="0"/>
            </w:tcBorders>
            <w:tcMar>
              <w:top w:w="15" w:type="dxa"/>
              <w:left w:w="15" w:type="dxa"/>
              <w:right w:w="15" w:type="dxa"/>
            </w:tcMar>
            <w:vAlign w:val="center"/>
          </w:tcPr>
          <w:p w:rsidR="00B61180" w:rsidP="00631238" w:rsidRDefault="00B61180" w14:paraId="3ED4D3F7" w14:textId="77777777">
            <w:pPr>
              <w:spacing w:after="0"/>
            </w:pPr>
            <w:r w:rsidRPr="1AB6159B">
              <w:rPr>
                <w:rFonts w:ascii="Arial Narrow" w:hAnsi="Arial Narrow" w:eastAsia="Arial Narrow" w:cs="Arial Narrow"/>
                <w:color w:val="000000" w:themeColor="text1"/>
              </w:rPr>
              <w:t xml:space="preserve">En relación con la figura de gestores de páramos es de resaltar que desde la Ley 1930 de 2018 se estableció la figura de los gestores de páramos, regulada mediante la resolución 814 de 2026 en cuyo artículo 3 se define esta figura como "desarrollarán actividades de gestión integral de estos ecosistemas, así como tareas de monitoreo, control y seguimiento con el apoyo y financiación de los organismos competentes, de conformidad con los lineamientos y estrategias que se definan para tal </w:t>
            </w:r>
            <w:r w:rsidRPr="1AB6159B">
              <w:rPr>
                <w:rFonts w:ascii="Arial Narrow" w:hAnsi="Arial Narrow" w:eastAsia="Arial Narrow" w:cs="Arial Narrow"/>
                <w:color w:val="000000" w:themeColor="text1"/>
              </w:rPr>
              <w:t xml:space="preserve">fin en el respectivo Plan de Manejo Ambiental del páramo. (artículo 16 Ley 1930 de 2018)". Así mismo, en la resolución en el parágrafo 4 del artículo 4 se establece que toda organización que busque inscribirse como gestor de páramo o tenga interés en ello debe ser de carácter local. </w:t>
            </w:r>
          </w:p>
        </w:tc>
        <w:tc>
          <w:tcPr>
            <w:tcW w:w="122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B61180" w:rsidP="00631238" w:rsidRDefault="00B61180" w14:paraId="05D48433" w14:textId="77777777">
            <w:pPr>
              <w:spacing w:after="0"/>
              <w:jc w:val="center"/>
            </w:pPr>
            <w:r w:rsidRPr="1AB6159B">
              <w:rPr>
                <w:rFonts w:ascii="Arial Narrow" w:hAnsi="Arial Narrow" w:eastAsia="Arial Narrow" w:cs="Arial Narrow"/>
                <w:color w:val="000000" w:themeColor="text1"/>
              </w:rPr>
              <w:t xml:space="preserve">No aplica </w:t>
            </w:r>
          </w:p>
        </w:tc>
      </w:tr>
      <w:tr w:rsidR="00B61180" w:rsidTr="00B61180" w14:paraId="280343A0" w14:textId="77777777">
        <w:trPr>
          <w:trHeight w:val="3214"/>
        </w:trPr>
        <w:tc>
          <w:tcPr>
            <w:tcW w:w="1262" w:type="dxa"/>
            <w:vMerge/>
            <w:tcBorders>
              <w:left w:val="single" w:color="auto" w:sz="0" w:space="0"/>
              <w:bottom w:val="single" w:color="000000" w:themeColor="text1" w:sz="0" w:space="0"/>
              <w:right w:val="single" w:color="auto" w:sz="0" w:space="0"/>
            </w:tcBorders>
            <w:vAlign w:val="center"/>
          </w:tcPr>
          <w:p w:rsidR="00B61180" w:rsidP="00631238" w:rsidRDefault="00B61180" w14:paraId="6B1E5C0D" w14:textId="77777777"/>
        </w:tc>
        <w:tc>
          <w:tcPr>
            <w:tcW w:w="3668" w:type="dxa"/>
            <w:vMerge/>
            <w:tcBorders>
              <w:left w:val="single" w:color="auto" w:sz="0" w:space="0"/>
              <w:bottom w:val="single" w:color="000000" w:themeColor="text1" w:sz="0" w:space="0"/>
              <w:right w:val="single" w:color="auto" w:sz="0" w:space="0"/>
            </w:tcBorders>
            <w:vAlign w:val="center"/>
          </w:tcPr>
          <w:p w:rsidR="00B61180" w:rsidP="00631238" w:rsidRDefault="00B61180" w14:paraId="06BE5171" w14:textId="77777777"/>
        </w:tc>
        <w:tc>
          <w:tcPr>
            <w:tcW w:w="2917" w:type="dxa"/>
            <w:tcBorders>
              <w:top w:val="single" w:color="auto" w:sz="4" w:space="0"/>
              <w:left w:val="nil"/>
              <w:bottom w:val="single" w:color="auto" w:sz="4" w:space="0"/>
              <w:right w:val="single" w:color="auto" w:sz="4" w:space="0"/>
            </w:tcBorders>
            <w:tcMar>
              <w:top w:w="15" w:type="dxa"/>
              <w:left w:w="15" w:type="dxa"/>
              <w:right w:w="15" w:type="dxa"/>
            </w:tcMar>
            <w:vAlign w:val="center"/>
          </w:tcPr>
          <w:p w:rsidR="00B61180" w:rsidP="00631238" w:rsidRDefault="00B61180" w14:paraId="4E47131F" w14:textId="77777777">
            <w:pPr>
              <w:spacing w:after="0"/>
              <w:rPr>
                <w:rFonts w:ascii="Arial Narrow" w:hAnsi="Arial Narrow" w:eastAsia="Arial Narrow" w:cs="Arial Narrow"/>
                <w:color w:val="000000" w:themeColor="text1"/>
              </w:rPr>
            </w:pPr>
            <w:r w:rsidRPr="1AB6159B">
              <w:rPr>
                <w:rFonts w:ascii="Arial Narrow" w:hAnsi="Arial Narrow" w:eastAsia="Arial Narrow" w:cs="Arial Narrow"/>
                <w:color w:val="000000" w:themeColor="text1"/>
              </w:rPr>
              <w:t xml:space="preserve">Es de recordar que las veedurías ciudadanas son mecanismos de participación y control social creadas por los ciudadanos conforme a la Ley 850 de 2003, aunque el Ministerio de Ambiente y Desarrollo sostenible no puede crearlas o dirigirlas, no desconoce que el sistema de fiscalización podrá articular y facilitar el ejercicio de las veedurías ciudadanas que se constituyan conforme a la Ley 850 de 2003. </w:t>
            </w:r>
            <w:r>
              <w:br/>
            </w:r>
            <w:r>
              <w:br/>
            </w:r>
          </w:p>
        </w:tc>
        <w:tc>
          <w:tcPr>
            <w:tcW w:w="122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B61180" w:rsidP="00631238" w:rsidRDefault="00B61180" w14:paraId="17B57983" w14:textId="77777777">
            <w:pPr>
              <w:spacing w:after="0"/>
              <w:jc w:val="center"/>
            </w:pPr>
            <w:r w:rsidRPr="1AB6159B">
              <w:rPr>
                <w:rFonts w:ascii="Arial Narrow" w:hAnsi="Arial Narrow" w:eastAsia="Arial Narrow" w:cs="Arial Narrow"/>
                <w:color w:val="000000" w:themeColor="text1"/>
              </w:rPr>
              <w:t>Se acoge parcialmente</w:t>
            </w:r>
          </w:p>
        </w:tc>
      </w:tr>
      <w:tr w:rsidR="00B61180" w:rsidTr="00B61180" w14:paraId="28FF88DE" w14:textId="77777777">
        <w:trPr>
          <w:trHeight w:val="1200"/>
        </w:trPr>
        <w:tc>
          <w:tcPr>
            <w:tcW w:w="1262" w:type="dxa"/>
            <w:vMerge/>
            <w:tcBorders>
              <w:left w:val="single" w:color="auto" w:sz="0" w:space="0"/>
              <w:bottom w:val="single" w:color="000000" w:themeColor="text1" w:sz="0" w:space="0"/>
              <w:right w:val="single" w:color="auto" w:sz="0" w:space="0"/>
            </w:tcBorders>
            <w:vAlign w:val="center"/>
          </w:tcPr>
          <w:p w:rsidR="00B61180" w:rsidP="00631238" w:rsidRDefault="00B61180" w14:paraId="20460AF9" w14:textId="77777777"/>
        </w:tc>
        <w:tc>
          <w:tcPr>
            <w:tcW w:w="3668" w:type="dxa"/>
            <w:vMerge/>
            <w:tcBorders>
              <w:left w:val="single" w:color="auto" w:sz="0" w:space="0"/>
              <w:bottom w:val="single" w:color="000000" w:themeColor="text1" w:sz="0" w:space="0"/>
              <w:right w:val="single" w:color="auto" w:sz="0" w:space="0"/>
            </w:tcBorders>
            <w:vAlign w:val="center"/>
          </w:tcPr>
          <w:p w:rsidR="00B61180" w:rsidP="00631238" w:rsidRDefault="00B61180" w14:paraId="3A1FAEA0" w14:textId="77777777"/>
        </w:tc>
        <w:tc>
          <w:tcPr>
            <w:tcW w:w="2917" w:type="dxa"/>
            <w:tcBorders>
              <w:top w:val="single" w:color="auto" w:sz="4" w:space="0"/>
              <w:left w:val="nil"/>
              <w:bottom w:val="single" w:color="auto" w:sz="4" w:space="0"/>
              <w:right w:val="single" w:color="auto" w:sz="4" w:space="0"/>
            </w:tcBorders>
            <w:tcMar>
              <w:top w:w="15" w:type="dxa"/>
              <w:left w:w="15" w:type="dxa"/>
              <w:right w:w="15" w:type="dxa"/>
            </w:tcMar>
            <w:vAlign w:val="center"/>
          </w:tcPr>
          <w:p w:rsidR="00B61180" w:rsidP="00631238" w:rsidRDefault="00B61180" w14:paraId="6C7B047E" w14:textId="77777777">
            <w:pPr>
              <w:spacing w:after="0"/>
            </w:pPr>
            <w:r w:rsidRPr="1AB6159B">
              <w:rPr>
                <w:rFonts w:ascii="Arial Narrow" w:hAnsi="Arial Narrow" w:eastAsia="Arial Narrow" w:cs="Arial Narrow"/>
                <w:color w:val="000000" w:themeColor="text1"/>
              </w:rPr>
              <w:t xml:space="preserve"> En relación con la inclusión y funciones de los gestores de páramos será regulada conforme a lo establecido en la Ley 1930 de 2018 y la resolución 814 de 2026. No obstante lo anterior, en la resolución en el parágrafo 4 del artículo 4 se establece que toda organización que busque inscribirse como gestor de páramo o tenga interés en ello debe ser de carácter local. Así mismo, en la resolución se esclarece en su artículo 8 en relación con sus compromisos la necesidad de participar de manera activa y reportar la información requerida para garantizar los procesos de gestión integral del páramo y la correcta aplicación del </w:t>
            </w:r>
            <w:r w:rsidRPr="1AB6159B">
              <w:rPr>
                <w:rFonts w:ascii="Arial Narrow" w:hAnsi="Arial Narrow" w:eastAsia="Arial Narrow" w:cs="Arial Narrow"/>
                <w:color w:val="000000" w:themeColor="text1"/>
              </w:rPr>
              <w:t xml:space="preserve">posterior plan de manejo que se formule para el mismo. </w:t>
            </w:r>
          </w:p>
        </w:tc>
        <w:tc>
          <w:tcPr>
            <w:tcW w:w="122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B61180" w:rsidP="00631238" w:rsidRDefault="00B61180" w14:paraId="466843D8" w14:textId="77777777">
            <w:pPr>
              <w:spacing w:after="0"/>
              <w:jc w:val="center"/>
            </w:pPr>
            <w:r w:rsidRPr="1AB6159B">
              <w:rPr>
                <w:rFonts w:ascii="Arial Narrow" w:hAnsi="Arial Narrow" w:eastAsia="Arial Narrow" w:cs="Arial Narrow"/>
                <w:color w:val="000000" w:themeColor="text1"/>
              </w:rPr>
              <w:t xml:space="preserve">Se acoge </w:t>
            </w:r>
          </w:p>
        </w:tc>
      </w:tr>
      <w:tr w:rsidR="00B61180" w:rsidTr="00B61180" w14:paraId="11CF9515" w14:textId="77777777">
        <w:trPr>
          <w:trHeight w:val="3120"/>
        </w:trPr>
        <w:tc>
          <w:tcPr>
            <w:tcW w:w="1262" w:type="dxa"/>
            <w:tcBorders>
              <w:top w:val="nil"/>
              <w:left w:val="single" w:color="auto" w:sz="4" w:space="0"/>
              <w:bottom w:val="single" w:color="auto" w:sz="4" w:space="0"/>
              <w:right w:val="single" w:color="auto" w:sz="4" w:space="0"/>
            </w:tcBorders>
            <w:shd w:val="clear" w:color="auto" w:fill="DAF2D0"/>
            <w:tcMar>
              <w:top w:w="15" w:type="dxa"/>
              <w:left w:w="15" w:type="dxa"/>
              <w:right w:w="15" w:type="dxa"/>
            </w:tcMar>
            <w:vAlign w:val="center"/>
          </w:tcPr>
          <w:p w:rsidR="00B61180" w:rsidP="00631238" w:rsidRDefault="00B61180" w14:paraId="6E32667E" w14:textId="77777777">
            <w:pPr>
              <w:spacing w:after="0"/>
            </w:pPr>
            <w:r w:rsidRPr="1AB6159B">
              <w:rPr>
                <w:rFonts w:ascii="Arial Narrow" w:hAnsi="Arial Narrow" w:eastAsia="Arial Narrow" w:cs="Arial Narrow"/>
                <w:b/>
                <w:bCs/>
                <w:color w:val="000000" w:themeColor="text1"/>
              </w:rPr>
              <w:t>Bucarasica (NS)</w:t>
            </w:r>
          </w:p>
        </w:tc>
        <w:tc>
          <w:tcPr>
            <w:tcW w:w="3668" w:type="dxa"/>
            <w:tcBorders>
              <w:top w:val="nil"/>
              <w:left w:val="single" w:color="auto" w:sz="4" w:space="0"/>
              <w:bottom w:val="single" w:color="auto" w:sz="4" w:space="0"/>
              <w:right w:val="single" w:color="auto" w:sz="4" w:space="0"/>
            </w:tcBorders>
            <w:tcMar>
              <w:top w:w="15" w:type="dxa"/>
              <w:left w:w="15" w:type="dxa"/>
              <w:right w:w="15" w:type="dxa"/>
            </w:tcMar>
            <w:vAlign w:val="center"/>
          </w:tcPr>
          <w:p w:rsidR="00B61180" w:rsidP="00631238" w:rsidRDefault="00B61180" w14:paraId="1E92D24E" w14:textId="77777777">
            <w:pPr>
              <w:spacing w:after="0"/>
            </w:pPr>
            <w:r w:rsidRPr="1AB6159B">
              <w:rPr>
                <w:rFonts w:ascii="Arial Narrow" w:hAnsi="Arial Narrow" w:eastAsia="Arial Narrow" w:cs="Arial Narrow"/>
                <w:b/>
                <w:bCs/>
                <w:color w:val="000000" w:themeColor="text1"/>
              </w:rPr>
              <w:t xml:space="preserve">Los acuerdos a los que llega el auditorio son:   </w:t>
            </w:r>
            <w:r w:rsidRPr="1AB6159B">
              <w:rPr>
                <w:rFonts w:ascii="Arial Narrow" w:hAnsi="Arial Narrow" w:eastAsia="Arial Narrow" w:cs="Arial Narrow"/>
                <w:color w:val="000000" w:themeColor="text1"/>
              </w:rPr>
              <w:t xml:space="preserve">                                                 </w:t>
            </w:r>
            <w:r>
              <w:br/>
            </w:r>
            <w:r w:rsidRPr="1AB6159B">
              <w:rPr>
                <w:rFonts w:ascii="Arial Narrow" w:hAnsi="Arial Narrow" w:eastAsia="Arial Narrow" w:cs="Arial Narrow"/>
                <w:color w:val="000000" w:themeColor="text1"/>
              </w:rPr>
              <w:t xml:space="preserve"> </w:t>
            </w:r>
            <w:r>
              <w:br/>
            </w:r>
            <w:r w:rsidRPr="1AB6159B">
              <w:rPr>
                <w:rFonts w:ascii="Arial Narrow" w:hAnsi="Arial Narrow" w:eastAsia="Arial Narrow" w:cs="Arial Narrow"/>
                <w:color w:val="000000" w:themeColor="text1"/>
              </w:rPr>
              <w:t xml:space="preserve">Mediante dos mesas de trabajo y deliberación se dejaron consignados aspectos destacados para el ineludible 3, afirmando que los consensos razonados consituyen la base fundamental para motivar la decisión administrativa de delimitación del Páramo Santurban, razón por la cual se redactaron propuestas comunitarias, dejando constancia que el Ministerio de Ambiente y Desarrollo Sostenible las acepta y en consecuencia se declaran conertados los siguientes:                                 Existe acuerdo con la propuesta del sistema de fiscalización compuesto por actores, principios, deberes y mecanismos de conformidad con la visión y sustento comunitario integrando los siguientes atributos:                                                                                                                     - Hay consenso en los principios y deberes siempre y cuando las entidades del estado que efectuan la fiscalización los observen y los cumplan.                                                                                 -Para el control social las comunidades se comprometen y requieren del estdo el fortalecimiento de las capacidades y la capacitación para participar eficazmente en la vigilancia de la gestión pública y la correcta utilización de los recursos y bienes públicos.                                                                         -Hay consenso en los actores que integran el sistema de fiscalización.                                                                                              -Hay consenso en las tres lineas estrategicas, garantizando la inversión y el fortalecimiento de las comunidades locales.                                                                                                                                   -Estamos de acuerdo con el sistema de fiscalización pero que realmente sea eficaz.                                     </w:t>
            </w:r>
            <w:r w:rsidRPr="1AB6159B">
              <w:rPr>
                <w:rFonts w:ascii="Arial Narrow" w:hAnsi="Arial Narrow" w:eastAsia="Arial Narrow" w:cs="Arial Narrow"/>
                <w:color w:val="000000" w:themeColor="text1"/>
              </w:rPr>
              <w:t>-Sobre este ineludible NO HUBO DISENSOS.</w:t>
            </w:r>
          </w:p>
        </w:tc>
        <w:tc>
          <w:tcPr>
            <w:tcW w:w="2917"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B61180" w:rsidP="00631238" w:rsidRDefault="00B61180" w14:paraId="019ACEC9" w14:textId="77777777">
            <w:pPr>
              <w:spacing w:after="0"/>
              <w:jc w:val="center"/>
            </w:pPr>
            <w:r w:rsidRPr="1AB6159B">
              <w:rPr>
                <w:rFonts w:ascii="Arial Narrow" w:hAnsi="Arial Narrow" w:eastAsia="Arial Narrow" w:cs="Arial Narrow"/>
                <w:color w:val="000000" w:themeColor="text1"/>
              </w:rPr>
              <w:t xml:space="preserve">Se acogen los principios sugeridos y el sistema de fiscalización presentado durante el espacio, y las propuestas nuevas se integran a los principios ya propuestos para robustecerlos y que puedan reflejar las propuestas de la comunidad. </w:t>
            </w:r>
          </w:p>
        </w:tc>
        <w:tc>
          <w:tcPr>
            <w:tcW w:w="122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B61180" w:rsidP="00631238" w:rsidRDefault="00B61180" w14:paraId="2AFB9D55" w14:textId="77777777">
            <w:pPr>
              <w:spacing w:after="0"/>
              <w:jc w:val="center"/>
            </w:pPr>
            <w:r w:rsidRPr="1AB6159B">
              <w:rPr>
                <w:rFonts w:ascii="Arial Narrow" w:hAnsi="Arial Narrow" w:eastAsia="Arial Narrow" w:cs="Arial Narrow"/>
                <w:color w:val="000000" w:themeColor="text1"/>
              </w:rPr>
              <w:t>Se acoge</w:t>
            </w:r>
          </w:p>
        </w:tc>
      </w:tr>
      <w:tr w:rsidR="00B61180" w:rsidTr="00B61180" w14:paraId="22C92DCC" w14:textId="77777777">
        <w:trPr>
          <w:trHeight w:val="5628"/>
        </w:trPr>
        <w:tc>
          <w:tcPr>
            <w:tcW w:w="1262" w:type="dxa"/>
            <w:vMerge w:val="restart"/>
            <w:tcBorders>
              <w:top w:val="single" w:color="auto" w:sz="4" w:space="0"/>
              <w:left w:val="single" w:color="auto" w:sz="4" w:space="0"/>
              <w:bottom w:val="single" w:color="000000" w:themeColor="text1" w:sz="4" w:space="0"/>
              <w:right w:val="single" w:color="auto" w:sz="4" w:space="0"/>
            </w:tcBorders>
            <w:shd w:val="clear" w:color="auto" w:fill="DAF2D0"/>
            <w:tcMar>
              <w:top w:w="15" w:type="dxa"/>
              <w:left w:w="15" w:type="dxa"/>
              <w:right w:w="15" w:type="dxa"/>
            </w:tcMar>
            <w:vAlign w:val="center"/>
          </w:tcPr>
          <w:p w:rsidR="00B61180" w:rsidP="00631238" w:rsidRDefault="00B61180" w14:paraId="63970561" w14:textId="77777777">
            <w:pPr>
              <w:spacing w:after="0"/>
              <w:jc w:val="center"/>
            </w:pPr>
            <w:r w:rsidRPr="1AB6159B">
              <w:rPr>
                <w:rFonts w:ascii="Arial Narrow" w:hAnsi="Arial Narrow" w:eastAsia="Arial Narrow" w:cs="Arial Narrow"/>
                <w:b/>
                <w:bCs/>
                <w:color w:val="000000" w:themeColor="text1"/>
              </w:rPr>
              <w:t>Lourdes (NS)</w:t>
            </w:r>
          </w:p>
        </w:tc>
        <w:tc>
          <w:tcPr>
            <w:tcW w:w="3668" w:type="dxa"/>
            <w:vMerge w:val="restart"/>
            <w:tcBorders>
              <w:top w:val="single" w:color="auto" w:sz="4" w:space="0"/>
              <w:left w:val="single" w:color="auto" w:sz="4" w:space="0"/>
              <w:bottom w:val="single" w:color="000000" w:themeColor="text1" w:sz="4" w:space="0"/>
              <w:right w:val="single" w:color="auto" w:sz="4" w:space="0"/>
            </w:tcBorders>
            <w:tcMar>
              <w:top w:w="15" w:type="dxa"/>
              <w:left w:w="15" w:type="dxa"/>
              <w:right w:w="15" w:type="dxa"/>
            </w:tcMar>
            <w:vAlign w:val="center"/>
          </w:tcPr>
          <w:p w:rsidR="00B61180" w:rsidP="00631238" w:rsidRDefault="00B61180" w14:paraId="33B64C05" w14:textId="77777777">
            <w:pPr>
              <w:spacing w:after="0"/>
              <w:jc w:val="center"/>
            </w:pPr>
            <w:r w:rsidRPr="1AB6159B">
              <w:rPr>
                <w:rFonts w:ascii="Arial Narrow" w:hAnsi="Arial Narrow" w:eastAsia="Arial Narrow" w:cs="Arial Narrow"/>
                <w:color w:val="000000" w:themeColor="text1"/>
              </w:rPr>
              <w:t xml:space="preserve">Se realizó la discusión en la mesa de fiscalización llegando a los siguientes acuerdos:                          Se consideró que, para realizar el seguimiento, monitoreo y control de las actividades de conservación y protección del páramo es importante contar con los siguientes actores:                                   -Corponor le compete normativamente coo autoridad ambiental regional, realizar el seguimiento y monitoreo de las áreas de páramo.                                                                                        -Veedurias ciudadanas por designación legal G.                                                                                            -Gestores de páramos establecidos en el articulo 16 de la Ley 1930 de 2018.                               -Personeria  municipal en su calidad de Ministerio público.                                                                Asi mismo, se propone realizar por parte de la administración municipal campañas de concientización ambiental en las practicas de protección del páramo.                                             En cuanto a los principios, se acuierda que la concurrencia, la Corresponsabilidad y la Transparencia son pertinentes y se propuso que las diferentes entidades unan esfuerzos para la protección del páramo.                                                                                                                              Se preguntó si ¿Consideran ustedes que el </w:t>
            </w:r>
            <w:r w:rsidRPr="1AB6159B">
              <w:rPr>
                <w:rFonts w:ascii="Arial Narrow" w:hAnsi="Arial Narrow" w:eastAsia="Arial Narrow" w:cs="Arial Narrow"/>
                <w:color w:val="000000" w:themeColor="text1"/>
              </w:rPr>
              <w:t>sistema de fiscaliación, debe ser un sistema dinámico, eficiente, correlativo, transparente y con corresponsabilidad?, los asistentes y propietarios de los predios en la zona de páramo si aceptan y concertan que los principios y deberes que se aplicaran en el sistema de fiscalización y asi mismo, que sea ejecutado por parte de los actores ya mencionados.                                                                                         Consideran procedente que, dentro del sistema de fizcalización, se debe abrir a todos los espacios de participación para las comunidades del páramo, dando efectivo cumplimiento a la participación, conforme como lo estableció el fallo judicial.</w:t>
            </w:r>
          </w:p>
        </w:tc>
        <w:tc>
          <w:tcPr>
            <w:tcW w:w="2917"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B61180" w:rsidP="00631238" w:rsidRDefault="00B61180" w14:paraId="738F1BA7" w14:textId="77777777">
            <w:pPr>
              <w:spacing w:after="0"/>
            </w:pPr>
            <w:r w:rsidRPr="1AB6159B">
              <w:rPr>
                <w:rFonts w:ascii="Arial Narrow" w:hAnsi="Arial Narrow" w:eastAsia="Arial Narrow" w:cs="Arial Narrow"/>
                <w:color w:val="000000" w:themeColor="text1"/>
              </w:rPr>
              <w:t xml:space="preserve">Conforme con el artículo 31 de la Ley 99 de 1993, las Corporaciones Autónomas Regionales, en su condición de máximas autoridades ambientales en el área de su jurisdicción, ejercen funciones de evaluación, control y seguimiento ambiental sobre el uso y aprovechamiento de los recursos naturales renovables, así como las competencias de vigilancia y potestad sancionatoria previstas en la ley. Así mismo, para la gestión integral del páramo se considera la figura de los gestores de páramo conforme a lo definido en la Ley 1930 de 2018 y la Resolución 814 de 2026 que reglamenta la figura de organización y funcionamiento de los mismos. </w:t>
            </w:r>
          </w:p>
        </w:tc>
        <w:tc>
          <w:tcPr>
            <w:tcW w:w="122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B61180" w:rsidP="00631238" w:rsidRDefault="00B61180" w14:paraId="5424CC94" w14:textId="77777777">
            <w:pPr>
              <w:spacing w:after="0"/>
              <w:jc w:val="center"/>
            </w:pPr>
            <w:r w:rsidRPr="1AB6159B">
              <w:rPr>
                <w:rFonts w:ascii="Arial Narrow" w:hAnsi="Arial Narrow" w:eastAsia="Arial Narrow" w:cs="Arial Narrow"/>
                <w:color w:val="000000" w:themeColor="text1"/>
              </w:rPr>
              <w:t xml:space="preserve">No aplica </w:t>
            </w:r>
          </w:p>
        </w:tc>
      </w:tr>
      <w:tr w:rsidR="00B61180" w:rsidTr="00B61180" w14:paraId="4C654AC7" w14:textId="77777777">
        <w:trPr>
          <w:trHeight w:val="1680"/>
        </w:trPr>
        <w:tc>
          <w:tcPr>
            <w:tcW w:w="1262" w:type="dxa"/>
            <w:vMerge/>
            <w:tcBorders>
              <w:left w:val="single" w:color="auto" w:sz="0" w:space="0"/>
              <w:right w:val="single" w:color="auto" w:sz="0" w:space="0"/>
            </w:tcBorders>
            <w:vAlign w:val="center"/>
          </w:tcPr>
          <w:p w:rsidR="00B61180" w:rsidP="00631238" w:rsidRDefault="00B61180" w14:paraId="1AEEB165" w14:textId="77777777"/>
        </w:tc>
        <w:tc>
          <w:tcPr>
            <w:tcW w:w="3668" w:type="dxa"/>
            <w:vMerge/>
            <w:tcBorders>
              <w:left w:val="single" w:color="auto" w:sz="0" w:space="0"/>
              <w:right w:val="single" w:color="auto" w:sz="0" w:space="0"/>
            </w:tcBorders>
            <w:vAlign w:val="center"/>
          </w:tcPr>
          <w:p w:rsidR="00B61180" w:rsidP="00631238" w:rsidRDefault="00B61180" w14:paraId="521831B4" w14:textId="77777777"/>
        </w:tc>
        <w:tc>
          <w:tcPr>
            <w:tcW w:w="2917" w:type="dxa"/>
            <w:tcBorders>
              <w:top w:val="single" w:color="auto" w:sz="4" w:space="0"/>
              <w:left w:val="nil"/>
              <w:bottom w:val="single" w:color="auto" w:sz="4" w:space="0"/>
              <w:right w:val="single" w:color="auto" w:sz="4" w:space="0"/>
            </w:tcBorders>
            <w:tcMar>
              <w:top w:w="15" w:type="dxa"/>
              <w:left w:w="15" w:type="dxa"/>
              <w:right w:w="15" w:type="dxa"/>
            </w:tcMar>
            <w:vAlign w:val="center"/>
          </w:tcPr>
          <w:p w:rsidR="00B61180" w:rsidP="00631238" w:rsidRDefault="00B61180" w14:paraId="0537A135" w14:textId="77777777">
            <w:pPr>
              <w:spacing w:after="0"/>
            </w:pPr>
            <w:r w:rsidRPr="1AB6159B">
              <w:rPr>
                <w:rFonts w:ascii="Arial Narrow" w:hAnsi="Arial Narrow" w:eastAsia="Arial Narrow" w:cs="Arial Narrow"/>
                <w:color w:val="000000" w:themeColor="text1"/>
              </w:rPr>
              <w:t xml:space="preserve">Se acogen los principios sugeridos y el sistema de fiscalización presentado durante el espacio, y las propuestas nuevas se integran a los principios ya propuestos para robustecerlos y que puedan reflejar las propuestas de la comunidad. </w:t>
            </w:r>
          </w:p>
        </w:tc>
        <w:tc>
          <w:tcPr>
            <w:tcW w:w="122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B61180" w:rsidP="00631238" w:rsidRDefault="00B61180" w14:paraId="4230276D" w14:textId="77777777">
            <w:pPr>
              <w:spacing w:after="0"/>
              <w:jc w:val="center"/>
            </w:pPr>
            <w:r w:rsidRPr="1AB6159B">
              <w:rPr>
                <w:rFonts w:ascii="Arial Narrow" w:hAnsi="Arial Narrow" w:eastAsia="Arial Narrow" w:cs="Arial Narrow"/>
                <w:color w:val="000000" w:themeColor="text1"/>
              </w:rPr>
              <w:t>Se acoge</w:t>
            </w:r>
          </w:p>
        </w:tc>
      </w:tr>
      <w:tr w:rsidR="00B61180" w:rsidTr="00B61180" w14:paraId="523E4F3F" w14:textId="77777777">
        <w:trPr>
          <w:trHeight w:val="1680"/>
        </w:trPr>
        <w:tc>
          <w:tcPr>
            <w:tcW w:w="1262" w:type="dxa"/>
            <w:vMerge/>
            <w:tcBorders>
              <w:left w:val="single" w:color="auto" w:sz="0" w:space="0"/>
              <w:bottom w:val="single" w:color="000000" w:themeColor="text1" w:sz="0" w:space="0"/>
              <w:right w:val="single" w:color="auto" w:sz="0" w:space="0"/>
            </w:tcBorders>
            <w:vAlign w:val="center"/>
          </w:tcPr>
          <w:p w:rsidR="00B61180" w:rsidP="00631238" w:rsidRDefault="00B61180" w14:paraId="64F28763" w14:textId="77777777"/>
        </w:tc>
        <w:tc>
          <w:tcPr>
            <w:tcW w:w="3668" w:type="dxa"/>
            <w:vMerge/>
            <w:tcBorders>
              <w:left w:val="single" w:color="auto" w:sz="0" w:space="0"/>
              <w:bottom w:val="single" w:color="000000" w:themeColor="text1" w:sz="0" w:space="0"/>
              <w:right w:val="single" w:color="auto" w:sz="0" w:space="0"/>
            </w:tcBorders>
            <w:vAlign w:val="center"/>
          </w:tcPr>
          <w:p w:rsidR="00B61180" w:rsidP="00631238" w:rsidRDefault="00B61180" w14:paraId="4740CBAA" w14:textId="77777777"/>
        </w:tc>
        <w:tc>
          <w:tcPr>
            <w:tcW w:w="2917" w:type="dxa"/>
            <w:tcBorders>
              <w:top w:val="single" w:color="auto" w:sz="4" w:space="0"/>
              <w:left w:val="nil"/>
              <w:bottom w:val="single" w:color="auto" w:sz="4" w:space="0"/>
              <w:right w:val="single" w:color="auto" w:sz="4" w:space="0"/>
            </w:tcBorders>
            <w:tcMar>
              <w:top w:w="15" w:type="dxa"/>
              <w:left w:w="15" w:type="dxa"/>
              <w:right w:w="15" w:type="dxa"/>
            </w:tcMar>
            <w:vAlign w:val="center"/>
          </w:tcPr>
          <w:p w:rsidR="00B61180" w:rsidP="00631238" w:rsidRDefault="00B61180" w14:paraId="1BD20569" w14:textId="77777777">
            <w:pPr>
              <w:spacing w:after="0"/>
            </w:pPr>
            <w:r w:rsidRPr="1AB6159B">
              <w:rPr>
                <w:rFonts w:ascii="Arial Narrow" w:hAnsi="Arial Narrow" w:eastAsia="Arial Narrow" w:cs="Arial Narrow"/>
                <w:color w:val="000000" w:themeColor="text1"/>
              </w:rPr>
              <w:t>Se acoge la sugerencia de incluir como miembro permanente a la Personería Municipal. Las personerías municipales con jurisdicción en el área de influencia del páramo podrán ser invitadas a participar en las sesiones de la instancia de coordinación, en el marco de las funciones que les corresponden como integrantes del Ministerio Público, especialmente para la promoción y garantía de los derechos de participación de las comunidades y el seguimiento al cumplimiento de los acuerdos.</w:t>
            </w:r>
          </w:p>
        </w:tc>
        <w:tc>
          <w:tcPr>
            <w:tcW w:w="122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B61180" w:rsidP="00631238" w:rsidRDefault="00B61180" w14:paraId="63266003" w14:textId="77777777">
            <w:pPr>
              <w:spacing w:after="0"/>
              <w:jc w:val="center"/>
            </w:pPr>
            <w:r w:rsidRPr="1AB6159B">
              <w:rPr>
                <w:rFonts w:ascii="Arial Narrow" w:hAnsi="Arial Narrow" w:eastAsia="Arial Narrow" w:cs="Arial Narrow"/>
                <w:color w:val="000000" w:themeColor="text1"/>
              </w:rPr>
              <w:t xml:space="preserve">Se acoge </w:t>
            </w:r>
          </w:p>
        </w:tc>
      </w:tr>
      <w:tr w:rsidR="00B61180" w:rsidTr="00B61180" w14:paraId="28A2087E" w14:textId="77777777">
        <w:trPr>
          <w:trHeight w:val="2100"/>
        </w:trPr>
        <w:tc>
          <w:tcPr>
            <w:tcW w:w="1262" w:type="dxa"/>
            <w:vMerge/>
            <w:tcBorders>
              <w:left w:val="single" w:color="auto" w:sz="0" w:space="0"/>
              <w:bottom w:val="single" w:color="000000" w:themeColor="text1" w:sz="0" w:space="0"/>
              <w:right w:val="single" w:color="auto" w:sz="0" w:space="0"/>
            </w:tcBorders>
            <w:vAlign w:val="center"/>
          </w:tcPr>
          <w:p w:rsidR="00B61180" w:rsidP="00631238" w:rsidRDefault="00B61180" w14:paraId="3B72FCE7" w14:textId="77777777"/>
        </w:tc>
        <w:tc>
          <w:tcPr>
            <w:tcW w:w="3668" w:type="dxa"/>
            <w:vMerge/>
            <w:tcBorders>
              <w:left w:val="single" w:color="auto" w:sz="0" w:space="0"/>
              <w:bottom w:val="single" w:color="000000" w:themeColor="text1" w:sz="0" w:space="0"/>
              <w:right w:val="single" w:color="auto" w:sz="0" w:space="0"/>
            </w:tcBorders>
            <w:vAlign w:val="center"/>
          </w:tcPr>
          <w:p w:rsidR="00B61180" w:rsidP="00631238" w:rsidRDefault="00B61180" w14:paraId="455CFBAA" w14:textId="77777777"/>
        </w:tc>
        <w:tc>
          <w:tcPr>
            <w:tcW w:w="2917" w:type="dxa"/>
            <w:tcBorders>
              <w:top w:val="single" w:color="auto" w:sz="4" w:space="0"/>
              <w:left w:val="nil"/>
              <w:bottom w:val="single" w:color="auto" w:sz="4" w:space="0"/>
              <w:right w:val="single" w:color="auto" w:sz="4" w:space="0"/>
            </w:tcBorders>
            <w:tcMar>
              <w:top w:w="15" w:type="dxa"/>
              <w:left w:w="15" w:type="dxa"/>
              <w:right w:w="15" w:type="dxa"/>
            </w:tcMar>
            <w:vAlign w:val="center"/>
          </w:tcPr>
          <w:p w:rsidR="00B61180" w:rsidP="00631238" w:rsidRDefault="00B61180" w14:paraId="1B2F891E" w14:textId="77777777">
            <w:pPr>
              <w:spacing w:after="0"/>
            </w:pPr>
            <w:r w:rsidRPr="1AB6159B">
              <w:rPr>
                <w:rFonts w:ascii="Arial Narrow" w:hAnsi="Arial Narrow" w:eastAsia="Arial Narrow" w:cs="Arial Narrow"/>
                <w:color w:val="000000" w:themeColor="text1"/>
              </w:rPr>
              <w:t xml:space="preserve">El Ministerio no tiene competencia para obligar a un municipio a ejecutar una actividad específica, pues las entidades territoriales gozan de autonomía (artículos 1, 287 y 311 de la Constitución Política). No obstante, lo anterior eso no imposibilita la articulación con las entidades territoriales y autoridades ambientales regionales para velar por el cuidado y gestión integral del ecosistema. </w:t>
            </w:r>
          </w:p>
        </w:tc>
        <w:tc>
          <w:tcPr>
            <w:tcW w:w="122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B61180" w:rsidP="00631238" w:rsidRDefault="00B61180" w14:paraId="09AC0E02" w14:textId="77777777">
            <w:pPr>
              <w:spacing w:after="0"/>
              <w:jc w:val="center"/>
            </w:pPr>
            <w:r w:rsidRPr="1AB6159B">
              <w:rPr>
                <w:rFonts w:ascii="Arial Narrow" w:hAnsi="Arial Narrow" w:eastAsia="Arial Narrow" w:cs="Arial Narrow"/>
                <w:color w:val="000000" w:themeColor="text1"/>
              </w:rPr>
              <w:t xml:space="preserve">No aplica </w:t>
            </w:r>
          </w:p>
        </w:tc>
      </w:tr>
      <w:tr w:rsidR="00B61180" w:rsidTr="00B61180" w14:paraId="6A83B30C" w14:textId="77777777">
        <w:trPr>
          <w:trHeight w:val="4669"/>
        </w:trPr>
        <w:tc>
          <w:tcPr>
            <w:tcW w:w="1262" w:type="dxa"/>
            <w:vMerge w:val="restart"/>
            <w:tcBorders>
              <w:top w:val="nil"/>
              <w:left w:val="single" w:color="auto" w:sz="4" w:space="0"/>
              <w:bottom w:val="single" w:color="000000" w:themeColor="text1" w:sz="4" w:space="0"/>
              <w:right w:val="single" w:color="auto" w:sz="4" w:space="0"/>
            </w:tcBorders>
            <w:shd w:val="clear" w:color="auto" w:fill="DAF2D0"/>
            <w:tcMar>
              <w:top w:w="15" w:type="dxa"/>
              <w:left w:w="15" w:type="dxa"/>
              <w:right w:w="15" w:type="dxa"/>
            </w:tcMar>
            <w:vAlign w:val="center"/>
          </w:tcPr>
          <w:p w:rsidR="00B61180" w:rsidP="00631238" w:rsidRDefault="00B61180" w14:paraId="6B2C923A" w14:textId="77777777">
            <w:pPr>
              <w:spacing w:after="0"/>
              <w:jc w:val="center"/>
            </w:pPr>
            <w:r w:rsidRPr="1AB6159B">
              <w:rPr>
                <w:rFonts w:ascii="Arial Narrow" w:hAnsi="Arial Narrow" w:eastAsia="Arial Narrow" w:cs="Arial Narrow"/>
                <w:b/>
                <w:bCs/>
                <w:color w:val="000000" w:themeColor="text1"/>
              </w:rPr>
              <w:t>Gramalote (NS)</w:t>
            </w:r>
          </w:p>
        </w:tc>
        <w:tc>
          <w:tcPr>
            <w:tcW w:w="3668" w:type="dxa"/>
            <w:vMerge w:val="restart"/>
            <w:tcBorders>
              <w:top w:val="nil"/>
              <w:left w:val="single" w:color="auto" w:sz="4" w:space="0"/>
              <w:bottom w:val="single" w:color="000000" w:themeColor="text1" w:sz="4" w:space="0"/>
              <w:right w:val="single" w:color="auto" w:sz="4" w:space="0"/>
            </w:tcBorders>
            <w:tcMar>
              <w:top w:w="15" w:type="dxa"/>
              <w:left w:w="15" w:type="dxa"/>
              <w:right w:w="15" w:type="dxa"/>
            </w:tcMar>
            <w:vAlign w:val="center"/>
          </w:tcPr>
          <w:p w:rsidR="00B61180" w:rsidP="00631238" w:rsidRDefault="00B61180" w14:paraId="27F2ADB6" w14:textId="77777777">
            <w:pPr>
              <w:spacing w:after="0"/>
              <w:jc w:val="center"/>
            </w:pPr>
            <w:r w:rsidRPr="1AB6159B">
              <w:rPr>
                <w:rFonts w:ascii="Arial Narrow" w:hAnsi="Arial Narrow" w:eastAsia="Arial Narrow" w:cs="Arial Narrow"/>
                <w:color w:val="000000" w:themeColor="text1"/>
              </w:rPr>
              <w:t xml:space="preserve">Consensos razonados sobre el tema de diálogo o ineludible 3 - Fiscalización                       Mediante la mesa de trabajo y deliberanción del tema de diálogo No. 3, se acordó que:                                   El sistema de fiscalización compuesto por actores, deberes y mecanismos de conformidad con la visión y sustento comunitario deberá estar integrado por los siguientes atributos:                                       -Hubo consenso en que los actores de fiscalización sean: Ministerio de Ambiente y Desarrollo Sostenible, las Corporaciones Autónomas Regionales, las Personerias Municipales, los alcaldes Municipales, la Policia , las Veedurias ciudadanas y los Gestores de Páramo.                                                                                                                                                                        -Hubo consenso en que los principios </w:t>
            </w:r>
            <w:r w:rsidRPr="1AB6159B">
              <w:rPr>
                <w:rFonts w:ascii="Arial Narrow" w:hAnsi="Arial Narrow" w:eastAsia="Arial Narrow" w:cs="Arial Narrow"/>
                <w:color w:val="000000" w:themeColor="text1"/>
              </w:rPr>
              <w:t xml:space="preserve">aplicables al sistema de fiscalización sean: Transparencia, igualdad, celeridad, Equidad, Honestidad, Concurrencia y Participación.                                                      -Hubo consenso en que los deberes del sistema de fiscalización son: controlar, hacer seguimiento, veracidad y evaluación y los demas establecidos por la Ley.                                                          -La comunidad propueso que con la finalidad de mejorar la propuesta del Mecanismo de fiscalización se deben:                                                                                                                                     Garantizar que en las reuniones participen los actores directamente involucrados quienes tienen poder de decisión, sin delegados.                                                                                             Realizar capacitaciones para el fortalecimiento de capacidades.                                       Fortalecer los procesos de educación ambiental.                                                                          Generar compromisos sociales                                                                                                                    Generar compromisos gubernamentales.                                                                                                  Gestionar recursos financieros.                                                                                                           Formular procedimientos, instrumentos y protocolo la fiscalización.                                      Rendir de cuentas (Hacer usos del sistema gobierno abierto)                                              Construir veedurías ciudadanas con enfoque integral y de páramo.  </w:t>
            </w:r>
          </w:p>
        </w:tc>
        <w:tc>
          <w:tcPr>
            <w:tcW w:w="2917"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B61180" w:rsidP="00631238" w:rsidRDefault="00B61180" w14:paraId="23FEF5A9" w14:textId="77777777">
            <w:pPr>
              <w:spacing w:after="0"/>
            </w:pPr>
            <w:r w:rsidRPr="1AB6159B">
              <w:rPr>
                <w:rFonts w:ascii="Arial Narrow" w:hAnsi="Arial Narrow" w:eastAsia="Arial Narrow" w:cs="Arial Narrow"/>
                <w:color w:val="000000" w:themeColor="text1"/>
              </w:rPr>
              <w:t xml:space="preserve">Se acogen los principios sugeridos y el sistema de fiscalización presentado durante el espacio, y las propuestas nuevas se integran a los principios ya propuestos para robustecerlos y que puedan reflejar las propuestas de la comunidad. </w:t>
            </w:r>
          </w:p>
        </w:tc>
        <w:tc>
          <w:tcPr>
            <w:tcW w:w="122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B61180" w:rsidP="00631238" w:rsidRDefault="00B61180" w14:paraId="0723265F" w14:textId="77777777">
            <w:pPr>
              <w:spacing w:after="0"/>
              <w:jc w:val="center"/>
            </w:pPr>
            <w:r w:rsidRPr="1AB6159B">
              <w:rPr>
                <w:rFonts w:ascii="Arial Narrow" w:hAnsi="Arial Narrow" w:eastAsia="Arial Narrow" w:cs="Arial Narrow"/>
                <w:color w:val="000000" w:themeColor="text1"/>
              </w:rPr>
              <w:t xml:space="preserve">Se acoge </w:t>
            </w:r>
          </w:p>
        </w:tc>
      </w:tr>
      <w:tr w:rsidR="00B61180" w:rsidTr="00B61180" w14:paraId="4D7C7BE3" w14:textId="77777777">
        <w:trPr>
          <w:trHeight w:val="3420"/>
        </w:trPr>
        <w:tc>
          <w:tcPr>
            <w:tcW w:w="1262" w:type="dxa"/>
            <w:vMerge/>
            <w:tcBorders>
              <w:left w:val="single" w:color="auto" w:sz="0" w:space="0"/>
              <w:bottom w:val="single" w:color="000000" w:themeColor="text1" w:sz="0" w:space="0"/>
              <w:right w:val="single" w:color="auto" w:sz="0" w:space="0"/>
            </w:tcBorders>
            <w:vAlign w:val="center"/>
          </w:tcPr>
          <w:p w:rsidR="00B61180" w:rsidP="00631238" w:rsidRDefault="00B61180" w14:paraId="5978B776" w14:textId="77777777"/>
        </w:tc>
        <w:tc>
          <w:tcPr>
            <w:tcW w:w="3668" w:type="dxa"/>
            <w:vMerge/>
            <w:tcBorders>
              <w:left w:val="single" w:color="auto" w:sz="0" w:space="0"/>
              <w:bottom w:val="single" w:color="000000" w:themeColor="text1" w:sz="0" w:space="0"/>
              <w:right w:val="single" w:color="auto" w:sz="0" w:space="0"/>
            </w:tcBorders>
            <w:vAlign w:val="center"/>
          </w:tcPr>
          <w:p w:rsidR="00B61180" w:rsidP="00631238" w:rsidRDefault="00B61180" w14:paraId="07231D7C" w14:textId="77777777"/>
        </w:tc>
        <w:tc>
          <w:tcPr>
            <w:tcW w:w="2917" w:type="dxa"/>
            <w:tcBorders>
              <w:top w:val="single" w:color="auto" w:sz="4" w:space="0"/>
              <w:left w:val="nil"/>
              <w:bottom w:val="single" w:color="auto" w:sz="4" w:space="0"/>
              <w:right w:val="single" w:color="auto" w:sz="4" w:space="0"/>
            </w:tcBorders>
            <w:tcMar>
              <w:top w:w="15" w:type="dxa"/>
              <w:left w:w="15" w:type="dxa"/>
              <w:right w:w="15" w:type="dxa"/>
            </w:tcMar>
            <w:vAlign w:val="center"/>
          </w:tcPr>
          <w:p w:rsidR="00B61180" w:rsidP="00631238" w:rsidRDefault="00B61180" w14:paraId="692EDBEF" w14:textId="77777777">
            <w:pPr>
              <w:spacing w:after="0"/>
            </w:pPr>
            <w:r w:rsidRPr="1AB6159B">
              <w:rPr>
                <w:rFonts w:ascii="Arial Narrow" w:hAnsi="Arial Narrow" w:eastAsia="Arial Narrow" w:cs="Arial Narrow"/>
                <w:color w:val="000000" w:themeColor="text1"/>
              </w:rPr>
              <w:t xml:space="preserve">En relación con la inclusión y funciones de los gestores de páramos será regulada conforme a lo establecido en la Ley 1930 de 2018 y la resolución 814 de 2026. No obstante lo anterior, en la resolución en el parágrafo 4 del artículo 4 se establece que toda organización que busque inscribirse como gestor de páramo o tenga interés en ello debe ser de carácter local. Así mismo, en la resolución se esclarece en su artículo 8 en relación con sus compromisos la necesidad de participar de manera activa y reportar la información requerida para garantizar los procesos de gestión integral del páramo y la correcta aplicación del posterior plan de manejo que se formule para el mismo. </w:t>
            </w:r>
          </w:p>
        </w:tc>
        <w:tc>
          <w:tcPr>
            <w:tcW w:w="122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B61180" w:rsidP="00631238" w:rsidRDefault="00B61180" w14:paraId="45B86160" w14:textId="77777777">
            <w:pPr>
              <w:spacing w:after="0"/>
              <w:jc w:val="center"/>
            </w:pPr>
            <w:r w:rsidRPr="1AB6159B">
              <w:rPr>
                <w:rFonts w:ascii="Arial Narrow" w:hAnsi="Arial Narrow" w:eastAsia="Arial Narrow" w:cs="Arial Narrow"/>
                <w:color w:val="000000" w:themeColor="text1"/>
              </w:rPr>
              <w:t>Se acoge</w:t>
            </w:r>
          </w:p>
        </w:tc>
      </w:tr>
      <w:tr w:rsidR="00B61180" w:rsidTr="00B61180" w14:paraId="67F57B94" w14:textId="77777777">
        <w:trPr>
          <w:trHeight w:val="1035"/>
        </w:trPr>
        <w:tc>
          <w:tcPr>
            <w:tcW w:w="1262" w:type="dxa"/>
            <w:tcBorders>
              <w:top w:val="nil"/>
              <w:left w:val="single" w:color="auto" w:sz="4" w:space="0"/>
              <w:bottom w:val="single" w:color="auto" w:sz="4" w:space="0"/>
              <w:right w:val="single" w:color="auto" w:sz="4" w:space="0"/>
            </w:tcBorders>
            <w:shd w:val="clear" w:color="auto" w:fill="DAF2D0"/>
            <w:tcMar>
              <w:top w:w="15" w:type="dxa"/>
              <w:left w:w="15" w:type="dxa"/>
              <w:right w:w="15" w:type="dxa"/>
            </w:tcMar>
            <w:vAlign w:val="center"/>
          </w:tcPr>
          <w:p w:rsidR="00B61180" w:rsidP="00631238" w:rsidRDefault="00B61180" w14:paraId="3BA98F67" w14:textId="77777777">
            <w:pPr>
              <w:spacing w:after="0"/>
            </w:pPr>
            <w:r w:rsidRPr="1AB6159B">
              <w:rPr>
                <w:rFonts w:ascii="Arial Narrow" w:hAnsi="Arial Narrow" w:eastAsia="Arial Narrow" w:cs="Arial Narrow"/>
                <w:b/>
                <w:bCs/>
                <w:color w:val="000000" w:themeColor="text1"/>
              </w:rPr>
              <w:t>Suratá (S)</w:t>
            </w:r>
            <w:r>
              <w:br/>
            </w:r>
            <w:r w:rsidRPr="1AB6159B">
              <w:rPr>
                <w:rFonts w:ascii="Arial Narrow" w:hAnsi="Arial Narrow" w:eastAsia="Arial Narrow" w:cs="Arial Narrow"/>
                <w:b/>
                <w:bCs/>
                <w:color w:val="000000" w:themeColor="text1"/>
              </w:rPr>
              <w:t xml:space="preserve"> (Cachiri)</w:t>
            </w:r>
          </w:p>
        </w:tc>
        <w:tc>
          <w:tcPr>
            <w:tcW w:w="3668" w:type="dxa"/>
            <w:tcBorders>
              <w:top w:val="nil"/>
              <w:left w:val="single" w:color="auto" w:sz="4" w:space="0"/>
              <w:bottom w:val="single" w:color="auto" w:sz="4" w:space="0"/>
              <w:right w:val="single" w:color="auto" w:sz="4" w:space="0"/>
            </w:tcBorders>
            <w:tcMar>
              <w:top w:w="15" w:type="dxa"/>
              <w:left w:w="15" w:type="dxa"/>
              <w:right w:w="15" w:type="dxa"/>
            </w:tcMar>
            <w:vAlign w:val="center"/>
          </w:tcPr>
          <w:p w:rsidR="00B61180" w:rsidP="00631238" w:rsidRDefault="00B61180" w14:paraId="72EF3762" w14:textId="77777777">
            <w:pPr>
              <w:spacing w:after="0"/>
            </w:pPr>
            <w:r w:rsidRPr="1AB6159B">
              <w:rPr>
                <w:rFonts w:ascii="Arial Narrow" w:hAnsi="Arial Narrow" w:eastAsia="Arial Narrow" w:cs="Arial Narrow"/>
                <w:color w:val="000000" w:themeColor="text1"/>
              </w:rPr>
              <w:t>No se llegó a consensos razonados sobre este ineludible</w:t>
            </w:r>
          </w:p>
        </w:tc>
        <w:tc>
          <w:tcPr>
            <w:tcW w:w="2917"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B61180" w:rsidP="00631238" w:rsidRDefault="00B61180" w14:paraId="5E2CAA0E" w14:textId="77777777">
            <w:pPr>
              <w:spacing w:after="0"/>
            </w:pPr>
            <w:r w:rsidRPr="1AB6159B">
              <w:rPr>
                <w:rFonts w:ascii="Arial Narrow" w:hAnsi="Arial Narrow" w:eastAsia="Arial Narrow" w:cs="Arial Narrow"/>
                <w:color w:val="000000" w:themeColor="text1"/>
              </w:rPr>
              <w:t xml:space="preserve">No aplica </w:t>
            </w:r>
          </w:p>
        </w:tc>
        <w:tc>
          <w:tcPr>
            <w:tcW w:w="122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B61180" w:rsidP="00631238" w:rsidRDefault="00B61180" w14:paraId="7284B3E0" w14:textId="77777777">
            <w:pPr>
              <w:spacing w:after="0"/>
              <w:jc w:val="center"/>
            </w:pPr>
            <w:r w:rsidRPr="1AB6159B">
              <w:rPr>
                <w:rFonts w:ascii="Arial Narrow" w:hAnsi="Arial Narrow" w:eastAsia="Arial Narrow" w:cs="Arial Narrow"/>
                <w:color w:val="000000" w:themeColor="text1"/>
              </w:rPr>
              <w:t xml:space="preserve">No aplica </w:t>
            </w:r>
          </w:p>
        </w:tc>
      </w:tr>
      <w:tr w:rsidR="00B61180" w:rsidTr="00B61180" w14:paraId="4DC7C13A" w14:textId="77777777">
        <w:trPr>
          <w:trHeight w:val="3795"/>
        </w:trPr>
        <w:tc>
          <w:tcPr>
            <w:tcW w:w="1262" w:type="dxa"/>
            <w:vMerge w:val="restart"/>
            <w:tcBorders>
              <w:top w:val="single" w:color="auto" w:sz="4" w:space="0"/>
              <w:left w:val="single" w:color="auto" w:sz="4" w:space="0"/>
              <w:bottom w:val="single" w:color="000000" w:themeColor="text1" w:sz="4" w:space="0"/>
              <w:right w:val="single" w:color="auto" w:sz="4" w:space="0"/>
            </w:tcBorders>
            <w:shd w:val="clear" w:color="auto" w:fill="DAF2D0"/>
            <w:tcMar>
              <w:top w:w="15" w:type="dxa"/>
              <w:left w:w="15" w:type="dxa"/>
              <w:right w:w="15" w:type="dxa"/>
            </w:tcMar>
            <w:vAlign w:val="center"/>
          </w:tcPr>
          <w:p w:rsidR="00B61180" w:rsidP="00631238" w:rsidRDefault="00B61180" w14:paraId="4F92C97C" w14:textId="77777777">
            <w:pPr>
              <w:spacing w:after="0"/>
              <w:jc w:val="center"/>
            </w:pPr>
            <w:r w:rsidRPr="1AB6159B">
              <w:rPr>
                <w:rFonts w:ascii="Arial Narrow" w:hAnsi="Arial Narrow" w:eastAsia="Arial Narrow" w:cs="Arial Narrow"/>
                <w:b/>
                <w:bCs/>
                <w:color w:val="000000" w:themeColor="text1"/>
              </w:rPr>
              <w:t>Bochalema (NS)</w:t>
            </w:r>
          </w:p>
        </w:tc>
        <w:tc>
          <w:tcPr>
            <w:tcW w:w="3668" w:type="dxa"/>
            <w:vMerge w:val="restart"/>
            <w:tcBorders>
              <w:top w:val="single" w:color="auto" w:sz="4" w:space="0"/>
              <w:left w:val="single" w:color="auto" w:sz="4" w:space="0"/>
              <w:bottom w:val="single" w:color="000000" w:themeColor="text1" w:sz="4" w:space="0"/>
              <w:right w:val="single" w:color="auto" w:sz="4" w:space="0"/>
            </w:tcBorders>
            <w:tcMar>
              <w:top w:w="15" w:type="dxa"/>
              <w:left w:w="15" w:type="dxa"/>
              <w:right w:w="15" w:type="dxa"/>
            </w:tcMar>
            <w:vAlign w:val="center"/>
          </w:tcPr>
          <w:p w:rsidR="00B61180" w:rsidP="00631238" w:rsidRDefault="00B61180" w14:paraId="4D488964" w14:textId="77777777">
            <w:pPr>
              <w:spacing w:after="0"/>
              <w:jc w:val="center"/>
            </w:pPr>
            <w:r w:rsidRPr="1AB6159B">
              <w:rPr>
                <w:rFonts w:ascii="Arial Narrow" w:hAnsi="Arial Narrow" w:eastAsia="Arial Narrow" w:cs="Arial Narrow"/>
                <w:color w:val="000000" w:themeColor="text1"/>
              </w:rPr>
              <w:t xml:space="preserve">Mediante la mesa de trabajo y deliberación del tema de diálogo No. 3, se acordó que: </w:t>
            </w:r>
            <w:r>
              <w:br/>
            </w:r>
            <w:r w:rsidRPr="1AB6159B">
              <w:rPr>
                <w:rFonts w:ascii="Arial Narrow" w:hAnsi="Arial Narrow" w:eastAsia="Arial Narrow" w:cs="Arial Narrow"/>
                <w:color w:val="000000" w:themeColor="text1"/>
              </w:rPr>
              <w:t>El sistema de fiscalización compuesto por actores, deberes y mecanismos de conformidad con la visión y sustento comunitario deberá estar integrado por los siguientes atributos:</w:t>
            </w:r>
            <w:r>
              <w:br/>
            </w:r>
            <w:r w:rsidRPr="1AB6159B">
              <w:rPr>
                <w:rFonts w:ascii="Arial Narrow" w:hAnsi="Arial Narrow" w:eastAsia="Arial Narrow" w:cs="Arial Narrow"/>
                <w:color w:val="000000" w:themeColor="text1"/>
              </w:rPr>
              <w:t xml:space="preserve"> -</w:t>
            </w:r>
            <w:r>
              <w:tab/>
            </w:r>
            <w:r w:rsidRPr="1AB6159B">
              <w:rPr>
                <w:rFonts w:ascii="Arial Narrow" w:hAnsi="Arial Narrow" w:eastAsia="Arial Narrow" w:cs="Arial Narrow"/>
                <w:color w:val="000000" w:themeColor="text1"/>
              </w:rPr>
              <w:t>Hubo consenso en que lo actores de fiscalización sean: El Ministerio de Ambiente y desarrollo Sostenible, las Corporaciones Autónomas Regionales, las Personerías Municipales, los alcaldes Municipales, la Policía, las veedurías ciudadanas y los Gestores de Páramo.</w:t>
            </w:r>
            <w:r>
              <w:br/>
            </w:r>
            <w:r w:rsidRPr="1AB6159B">
              <w:rPr>
                <w:rFonts w:ascii="Arial Narrow" w:hAnsi="Arial Narrow" w:eastAsia="Arial Narrow" w:cs="Arial Narrow"/>
                <w:color w:val="000000" w:themeColor="text1"/>
              </w:rPr>
              <w:t xml:space="preserve"> -</w:t>
            </w:r>
            <w:r>
              <w:tab/>
            </w:r>
            <w:r w:rsidRPr="1AB6159B">
              <w:rPr>
                <w:rFonts w:ascii="Arial Narrow" w:hAnsi="Arial Narrow" w:eastAsia="Arial Narrow" w:cs="Arial Narrow"/>
                <w:color w:val="000000" w:themeColor="text1"/>
              </w:rPr>
              <w:t>Se propusieron los siguientes principios: responsabilidad, mérito, transparencia, imparcialidad, respeto, coherencia, honradez, objetividad, eficacia y moralidad pública.</w:t>
            </w:r>
            <w:r>
              <w:br/>
            </w:r>
            <w:r w:rsidRPr="1AB6159B">
              <w:rPr>
                <w:rFonts w:ascii="Arial Narrow" w:hAnsi="Arial Narrow" w:eastAsia="Arial Narrow" w:cs="Arial Narrow"/>
                <w:color w:val="000000" w:themeColor="text1"/>
              </w:rPr>
              <w:t xml:space="preserve"> -</w:t>
            </w:r>
            <w:r>
              <w:tab/>
            </w:r>
            <w:r w:rsidRPr="1AB6159B">
              <w:rPr>
                <w:rFonts w:ascii="Arial Narrow" w:hAnsi="Arial Narrow" w:eastAsia="Arial Narrow" w:cs="Arial Narrow"/>
                <w:color w:val="000000" w:themeColor="text1"/>
              </w:rPr>
              <w:t>Hubo consenso en que los deberes del sistema de fiscalización son: dar cumplimiento a las funciones de la norma.</w:t>
            </w:r>
            <w:r>
              <w:br/>
            </w:r>
            <w:r w:rsidRPr="1AB6159B">
              <w:rPr>
                <w:rFonts w:ascii="Arial Narrow" w:hAnsi="Arial Narrow" w:eastAsia="Arial Narrow" w:cs="Arial Narrow"/>
                <w:color w:val="000000" w:themeColor="text1"/>
              </w:rPr>
              <w:t xml:space="preserve"> Adicionalmente, la comunidad planteó las siguientes consideraciones:</w:t>
            </w:r>
            <w:r>
              <w:br/>
            </w:r>
            <w:r w:rsidRPr="1AB6159B">
              <w:rPr>
                <w:rFonts w:ascii="Arial Narrow" w:hAnsi="Arial Narrow" w:eastAsia="Arial Narrow" w:cs="Arial Narrow"/>
                <w:color w:val="000000" w:themeColor="text1"/>
              </w:rPr>
              <w:t xml:space="preserve"> -</w:t>
            </w:r>
            <w:r>
              <w:tab/>
            </w:r>
            <w:r w:rsidRPr="1AB6159B">
              <w:rPr>
                <w:rFonts w:ascii="Arial Narrow" w:hAnsi="Arial Narrow" w:eastAsia="Arial Narrow" w:cs="Arial Narrow"/>
                <w:color w:val="000000" w:themeColor="text1"/>
              </w:rPr>
              <w:t>Implementar estrategias sólidas para dar cumplimiento a los deberes de los actores para lograr eficacia en términos de resultados.</w:t>
            </w:r>
            <w:r>
              <w:br/>
            </w:r>
            <w:r w:rsidRPr="1AB6159B">
              <w:rPr>
                <w:rFonts w:ascii="Arial Narrow" w:hAnsi="Arial Narrow" w:eastAsia="Arial Narrow" w:cs="Arial Narrow"/>
                <w:color w:val="000000" w:themeColor="text1"/>
              </w:rPr>
              <w:t xml:space="preserve"> -</w:t>
            </w:r>
            <w:r>
              <w:tab/>
            </w:r>
            <w:r w:rsidRPr="1AB6159B">
              <w:rPr>
                <w:rFonts w:ascii="Arial Narrow" w:hAnsi="Arial Narrow" w:eastAsia="Arial Narrow" w:cs="Arial Narrow"/>
                <w:color w:val="000000" w:themeColor="text1"/>
              </w:rPr>
              <w:t>Ejecución de todos los ineludibles y los acuerdos.</w:t>
            </w:r>
            <w:r>
              <w:br/>
            </w:r>
            <w:r w:rsidRPr="1AB6159B">
              <w:rPr>
                <w:rFonts w:ascii="Arial Narrow" w:hAnsi="Arial Narrow" w:eastAsia="Arial Narrow" w:cs="Arial Narrow"/>
                <w:color w:val="000000" w:themeColor="text1"/>
              </w:rPr>
              <w:t xml:space="preserve"> -</w:t>
            </w:r>
            <w:r>
              <w:tab/>
            </w:r>
            <w:r w:rsidRPr="1AB6159B">
              <w:rPr>
                <w:rFonts w:ascii="Arial Narrow" w:hAnsi="Arial Narrow" w:eastAsia="Arial Narrow" w:cs="Arial Narrow"/>
                <w:color w:val="000000" w:themeColor="text1"/>
              </w:rPr>
              <w:t>Las comunidades insisten que se tiene la esperanza, confianza y se resignan a esperar que tengamos resultados futuros, a través de las transformaciones de las conductas con coherencia e integridad.</w:t>
            </w:r>
          </w:p>
        </w:tc>
        <w:tc>
          <w:tcPr>
            <w:tcW w:w="2917"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B61180" w:rsidP="00631238" w:rsidRDefault="00B61180" w14:paraId="72CB9804" w14:textId="77777777">
            <w:pPr>
              <w:spacing w:after="0"/>
            </w:pPr>
            <w:r w:rsidRPr="1AB6159B">
              <w:rPr>
                <w:rFonts w:ascii="Arial Narrow" w:hAnsi="Arial Narrow" w:eastAsia="Arial Narrow" w:cs="Arial Narrow"/>
                <w:color w:val="000000" w:themeColor="text1"/>
              </w:rPr>
              <w:t xml:space="preserve">Se acogen los principios sugeridos y el sistema de fiscalización presentado durante el espacio, y las propuestas nuevas se integran a los principios ya propuestos para robustecerlos y que puedan reflejar las propuestas de la comunidad. </w:t>
            </w:r>
          </w:p>
        </w:tc>
        <w:tc>
          <w:tcPr>
            <w:tcW w:w="122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B61180" w:rsidP="00631238" w:rsidRDefault="00B61180" w14:paraId="0793D7BA" w14:textId="77777777">
            <w:pPr>
              <w:spacing w:after="0"/>
              <w:jc w:val="center"/>
            </w:pPr>
            <w:r w:rsidRPr="1AB6159B">
              <w:rPr>
                <w:rFonts w:ascii="Arial Narrow" w:hAnsi="Arial Narrow" w:eastAsia="Arial Narrow" w:cs="Arial Narrow"/>
                <w:color w:val="000000" w:themeColor="text1"/>
              </w:rPr>
              <w:t>Se acoge</w:t>
            </w:r>
          </w:p>
        </w:tc>
      </w:tr>
      <w:tr w:rsidR="00B61180" w:rsidTr="00B61180" w14:paraId="44E64676" w14:textId="77777777">
        <w:trPr>
          <w:trHeight w:val="2220"/>
        </w:trPr>
        <w:tc>
          <w:tcPr>
            <w:tcW w:w="1262" w:type="dxa"/>
            <w:vMerge/>
            <w:tcBorders>
              <w:left w:val="single" w:color="auto" w:sz="0" w:space="0"/>
              <w:bottom w:val="single" w:color="000000" w:themeColor="text1" w:sz="0" w:space="0"/>
              <w:right w:val="single" w:color="auto" w:sz="0" w:space="0"/>
            </w:tcBorders>
            <w:vAlign w:val="center"/>
          </w:tcPr>
          <w:p w:rsidR="00B61180" w:rsidP="00631238" w:rsidRDefault="00B61180" w14:paraId="034CB2EE" w14:textId="77777777"/>
        </w:tc>
        <w:tc>
          <w:tcPr>
            <w:tcW w:w="3668" w:type="dxa"/>
            <w:vMerge/>
            <w:tcBorders>
              <w:left w:val="single" w:color="auto" w:sz="0" w:space="0"/>
              <w:bottom w:val="single" w:color="000000" w:themeColor="text1" w:sz="0" w:space="0"/>
              <w:right w:val="single" w:color="auto" w:sz="0" w:space="0"/>
            </w:tcBorders>
            <w:vAlign w:val="center"/>
          </w:tcPr>
          <w:p w:rsidR="00B61180" w:rsidP="00631238" w:rsidRDefault="00B61180" w14:paraId="3078F44F" w14:textId="77777777"/>
        </w:tc>
        <w:tc>
          <w:tcPr>
            <w:tcW w:w="2917" w:type="dxa"/>
            <w:tcBorders>
              <w:top w:val="single" w:color="auto" w:sz="4" w:space="0"/>
              <w:left w:val="nil"/>
              <w:bottom w:val="single" w:color="auto" w:sz="4" w:space="0"/>
              <w:right w:val="single" w:color="auto" w:sz="4" w:space="0"/>
            </w:tcBorders>
            <w:tcMar>
              <w:top w:w="15" w:type="dxa"/>
              <w:left w:w="15" w:type="dxa"/>
              <w:right w:w="15" w:type="dxa"/>
            </w:tcMar>
            <w:vAlign w:val="center"/>
          </w:tcPr>
          <w:p w:rsidR="00B61180" w:rsidP="00631238" w:rsidRDefault="00B61180" w14:paraId="2B4135BF" w14:textId="77777777">
            <w:pPr>
              <w:spacing w:after="0"/>
              <w:jc w:val="center"/>
            </w:pPr>
            <w:r w:rsidRPr="1AB6159B">
              <w:rPr>
                <w:rFonts w:ascii="Arial Narrow" w:hAnsi="Arial Narrow" w:eastAsia="Arial Narrow" w:cs="Arial Narrow"/>
                <w:color w:val="000000" w:themeColor="text1"/>
              </w:rPr>
              <w:t xml:space="preserve">En relación con la inclusión y funciones de los gestores de páramos será regulada conforme a lo establecido en la Ley 1930 de 2018 y la resolución 814 de 2026. No obstante lo anterior, en la resolución en el parágrafo 4 del artículo 4 se establece que toda organización que busque inscribirse como gestor de páramo o tenga interés en ello debe ser de carácter local. Así mismo, en la resolución se esclarece en su artículo 8 en relación con sus compromisos la necesidad de participar de manera activa y reportar la información requerida para garantizar los procesos de gestión integral del páramo y la correcta aplicación del posterior plan de manejo que se formule para el mismo. </w:t>
            </w:r>
            <w:r>
              <w:br/>
            </w:r>
            <w:r>
              <w:br/>
            </w:r>
            <w:r w:rsidRPr="1AB6159B">
              <w:rPr>
                <w:rFonts w:ascii="Arial Narrow" w:hAnsi="Arial Narrow" w:eastAsia="Arial Narrow" w:cs="Arial Narrow"/>
                <w:color w:val="000000" w:themeColor="text1"/>
              </w:rPr>
              <w:t xml:space="preserve">Es de recordar que las veedurías ciudadanas son mecanismos de participación y control social creadas por los ciudadanos conforme a la Ley 850 de 2003, aunque el Ministerio de Ambiente y Desarrollo sostenible no puede crearlas o dirigirlas, no desconoce </w:t>
            </w:r>
            <w:r w:rsidRPr="1AB6159B">
              <w:rPr>
                <w:rFonts w:ascii="Arial Narrow" w:hAnsi="Arial Narrow" w:eastAsia="Arial Narrow" w:cs="Arial Narrow"/>
                <w:color w:val="000000" w:themeColor="text1"/>
              </w:rPr>
              <w:t xml:space="preserve">que el sistema de fiscalización podrá articular y facilitar el ejercicio de las veedurías ciudadanas que se constituyan conforme a la Ley 850 de 2003. </w:t>
            </w:r>
          </w:p>
        </w:tc>
        <w:tc>
          <w:tcPr>
            <w:tcW w:w="122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B61180" w:rsidP="00631238" w:rsidRDefault="00B61180" w14:paraId="7FB7AFF5" w14:textId="77777777">
            <w:pPr>
              <w:spacing w:after="0"/>
              <w:jc w:val="center"/>
            </w:pPr>
            <w:r w:rsidRPr="1AB6159B">
              <w:rPr>
                <w:rFonts w:ascii="Arial Narrow" w:hAnsi="Arial Narrow" w:eastAsia="Arial Narrow" w:cs="Arial Narrow"/>
                <w:color w:val="000000" w:themeColor="text1"/>
              </w:rPr>
              <w:t xml:space="preserve">Se acoge </w:t>
            </w:r>
          </w:p>
        </w:tc>
      </w:tr>
      <w:tr w:rsidR="00B61180" w:rsidTr="00B61180" w14:paraId="0CBB5A1F" w14:textId="77777777">
        <w:trPr>
          <w:trHeight w:val="4425"/>
        </w:trPr>
        <w:tc>
          <w:tcPr>
            <w:tcW w:w="1262" w:type="dxa"/>
            <w:vMerge w:val="restart"/>
            <w:tcBorders>
              <w:top w:val="nil"/>
              <w:left w:val="single" w:color="auto" w:sz="4" w:space="0"/>
              <w:bottom w:val="single" w:color="000000" w:themeColor="text1" w:sz="4" w:space="0"/>
              <w:right w:val="single" w:color="auto" w:sz="4" w:space="0"/>
            </w:tcBorders>
            <w:shd w:val="clear" w:color="auto" w:fill="DAF2D0"/>
            <w:tcMar>
              <w:top w:w="15" w:type="dxa"/>
              <w:left w:w="15" w:type="dxa"/>
              <w:right w:w="15" w:type="dxa"/>
            </w:tcMar>
            <w:vAlign w:val="center"/>
          </w:tcPr>
          <w:p w:rsidR="00B61180" w:rsidP="00631238" w:rsidRDefault="00B61180" w14:paraId="5129EB77" w14:textId="77777777">
            <w:pPr>
              <w:spacing w:after="0"/>
              <w:jc w:val="center"/>
            </w:pPr>
            <w:r w:rsidRPr="1AB6159B">
              <w:rPr>
                <w:rFonts w:ascii="Arial Narrow" w:hAnsi="Arial Narrow" w:eastAsia="Arial Narrow" w:cs="Arial Narrow"/>
                <w:b/>
                <w:bCs/>
                <w:color w:val="000000" w:themeColor="text1"/>
              </w:rPr>
              <w:t>Chinácota (NS)</w:t>
            </w:r>
          </w:p>
        </w:tc>
        <w:tc>
          <w:tcPr>
            <w:tcW w:w="3668" w:type="dxa"/>
            <w:vMerge w:val="restart"/>
            <w:tcBorders>
              <w:top w:val="nil"/>
              <w:left w:val="single" w:color="auto" w:sz="4" w:space="0"/>
              <w:bottom w:val="single" w:color="000000" w:themeColor="text1" w:sz="4" w:space="0"/>
              <w:right w:val="single" w:color="auto" w:sz="4" w:space="0"/>
            </w:tcBorders>
            <w:tcMar>
              <w:top w:w="15" w:type="dxa"/>
              <w:left w:w="15" w:type="dxa"/>
              <w:right w:w="15" w:type="dxa"/>
            </w:tcMar>
            <w:vAlign w:val="center"/>
          </w:tcPr>
          <w:p w:rsidR="00B61180" w:rsidP="00631238" w:rsidRDefault="00B61180" w14:paraId="503B22D3" w14:textId="77777777">
            <w:pPr>
              <w:spacing w:after="0"/>
              <w:jc w:val="center"/>
            </w:pPr>
            <w:r w:rsidRPr="1AB6159B">
              <w:rPr>
                <w:rFonts w:ascii="Arial Narrow" w:hAnsi="Arial Narrow" w:eastAsia="Arial Narrow" w:cs="Arial Narrow"/>
                <w:color w:val="000000" w:themeColor="text1"/>
              </w:rPr>
              <w:t xml:space="preserve">Mediante la mesa de trabajo y deliberación del tema de diálogo No. 3, se acordó que: </w:t>
            </w:r>
            <w:r>
              <w:br/>
            </w:r>
            <w:r w:rsidRPr="1AB6159B">
              <w:rPr>
                <w:rFonts w:ascii="Arial Narrow" w:hAnsi="Arial Narrow" w:eastAsia="Arial Narrow" w:cs="Arial Narrow"/>
                <w:color w:val="000000" w:themeColor="text1"/>
              </w:rPr>
              <w:t>El sistema de fiscalización compuesto por actores, deberes y mecanismos de conformidad con la propuesta del Minambiente que de acuerdo con la visión y sustento comunitario deberá estar integrado por los siguientes atributos:</w:t>
            </w:r>
            <w:r>
              <w:br/>
            </w:r>
            <w:r w:rsidRPr="1AB6159B">
              <w:rPr>
                <w:rFonts w:ascii="Arial Narrow" w:hAnsi="Arial Narrow" w:eastAsia="Arial Narrow" w:cs="Arial Narrow"/>
                <w:color w:val="000000" w:themeColor="text1"/>
              </w:rPr>
              <w:t xml:space="preserve"> -</w:t>
            </w:r>
            <w:r>
              <w:tab/>
            </w:r>
            <w:r w:rsidRPr="1AB6159B">
              <w:rPr>
                <w:rFonts w:ascii="Arial Narrow" w:hAnsi="Arial Narrow" w:eastAsia="Arial Narrow" w:cs="Arial Narrow"/>
                <w:color w:val="000000" w:themeColor="text1"/>
              </w:rPr>
              <w:t>Hubo consenso en que lo actores de fiscalización sean: El Ministerio de Ambiente y Desarrollo Sostenible, las Corporaciones Autónomas Regionales, las Personerías Municipales, los alcaldes Municipales, la Policía, las veedurías ciudadanas y los Gestores de Páramo.</w:t>
            </w:r>
            <w:r>
              <w:br/>
            </w:r>
            <w:r w:rsidRPr="1AB6159B">
              <w:rPr>
                <w:rFonts w:ascii="Arial Narrow" w:hAnsi="Arial Narrow" w:eastAsia="Arial Narrow" w:cs="Arial Narrow"/>
                <w:color w:val="000000" w:themeColor="text1"/>
              </w:rPr>
              <w:t xml:space="preserve"> -</w:t>
            </w:r>
            <w:r>
              <w:tab/>
            </w:r>
            <w:r w:rsidRPr="1AB6159B">
              <w:rPr>
                <w:rFonts w:ascii="Arial Narrow" w:hAnsi="Arial Narrow" w:eastAsia="Arial Narrow" w:cs="Arial Narrow"/>
                <w:color w:val="000000" w:themeColor="text1"/>
              </w:rPr>
              <w:t>Se propusieron los siguientes principios: coordinación y concurrencia, integración, participación ciudadana y democracia, solidaridad, equidad, gradualidad, flexibilidad, responsabilidad y corresponsabilidad, transparencia y acceso a la información, economía y buen gobierno, continuidad y veracidad.</w:t>
            </w:r>
            <w:r>
              <w:br/>
            </w:r>
            <w:r w:rsidRPr="1AB6159B">
              <w:rPr>
                <w:rFonts w:ascii="Arial Narrow" w:hAnsi="Arial Narrow" w:eastAsia="Arial Narrow" w:cs="Arial Narrow"/>
                <w:color w:val="000000" w:themeColor="text1"/>
              </w:rPr>
              <w:t xml:space="preserve"> -</w:t>
            </w:r>
            <w:r>
              <w:tab/>
            </w:r>
            <w:r w:rsidRPr="1AB6159B">
              <w:rPr>
                <w:rFonts w:ascii="Arial Narrow" w:hAnsi="Arial Narrow" w:eastAsia="Arial Narrow" w:cs="Arial Narrow"/>
                <w:color w:val="000000" w:themeColor="text1"/>
              </w:rPr>
              <w:t>Hubo consenso en que los deberes del sistema de fiscalización son: evaluación, control social, sanción y supervisión.</w:t>
            </w:r>
            <w:r>
              <w:br/>
            </w:r>
            <w:r w:rsidRPr="1AB6159B">
              <w:rPr>
                <w:rFonts w:ascii="Arial Narrow" w:hAnsi="Arial Narrow" w:eastAsia="Arial Narrow" w:cs="Arial Narrow"/>
                <w:color w:val="000000" w:themeColor="text1"/>
              </w:rPr>
              <w:t xml:space="preserve"> Así mismo, la comunidad propuso lo siguiente:</w:t>
            </w:r>
            <w:r>
              <w:br/>
            </w:r>
            <w:r w:rsidRPr="1AB6159B">
              <w:rPr>
                <w:rFonts w:ascii="Arial Narrow" w:hAnsi="Arial Narrow" w:eastAsia="Arial Narrow" w:cs="Arial Narrow"/>
                <w:color w:val="000000" w:themeColor="text1"/>
              </w:rPr>
              <w:t xml:space="preserve"> -</w:t>
            </w:r>
            <w:r>
              <w:tab/>
            </w:r>
            <w:r w:rsidRPr="1AB6159B">
              <w:rPr>
                <w:rFonts w:ascii="Arial Narrow" w:hAnsi="Arial Narrow" w:eastAsia="Arial Narrow" w:cs="Arial Narrow"/>
                <w:color w:val="000000" w:themeColor="text1"/>
              </w:rPr>
              <w:t>Que el enfoque que tengan las autoridades ambientales no sea sancionatorio sino preventivo.</w:t>
            </w:r>
            <w:r>
              <w:br/>
            </w:r>
            <w:r w:rsidRPr="1AB6159B">
              <w:rPr>
                <w:rFonts w:ascii="Arial Narrow" w:hAnsi="Arial Narrow" w:eastAsia="Arial Narrow" w:cs="Arial Narrow"/>
                <w:color w:val="000000" w:themeColor="text1"/>
              </w:rPr>
              <w:t xml:space="preserve"> -</w:t>
            </w:r>
            <w:r>
              <w:tab/>
            </w:r>
            <w:r w:rsidRPr="1AB6159B">
              <w:rPr>
                <w:rFonts w:ascii="Arial Narrow" w:hAnsi="Arial Narrow" w:eastAsia="Arial Narrow" w:cs="Arial Narrow"/>
                <w:color w:val="000000" w:themeColor="text1"/>
              </w:rPr>
              <w:t xml:space="preserve">Crear como mecanismo de prevención una herramienta de atención inmediata dirigida a los habitantes del páramo y comunidad en general para no incluir en sanciones. No obstante, en el </w:t>
            </w:r>
            <w:r w:rsidRPr="1AB6159B">
              <w:rPr>
                <w:rFonts w:ascii="Arial Narrow" w:hAnsi="Arial Narrow" w:eastAsia="Arial Narrow" w:cs="Arial Narrow"/>
                <w:color w:val="000000" w:themeColor="text1"/>
              </w:rPr>
              <w:t>evento en que suceda un hecho que viole esta normatividad, se aplique la ley.</w:t>
            </w:r>
          </w:p>
        </w:tc>
        <w:tc>
          <w:tcPr>
            <w:tcW w:w="2917"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B61180" w:rsidP="00631238" w:rsidRDefault="00B61180" w14:paraId="07B3D664" w14:textId="77777777">
            <w:pPr>
              <w:spacing w:after="0"/>
            </w:pPr>
            <w:r w:rsidRPr="1AB6159B">
              <w:rPr>
                <w:rFonts w:ascii="Arial Narrow" w:hAnsi="Arial Narrow" w:eastAsia="Arial Narrow" w:cs="Arial Narrow"/>
                <w:color w:val="000000" w:themeColor="text1"/>
              </w:rPr>
              <w:t xml:space="preserve">Se acogen los principios sugeridos y el sistema de fiscalización presentado durante el espacio. </w:t>
            </w:r>
          </w:p>
        </w:tc>
        <w:tc>
          <w:tcPr>
            <w:tcW w:w="122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B61180" w:rsidP="00631238" w:rsidRDefault="00B61180" w14:paraId="193476B9" w14:textId="77777777">
            <w:pPr>
              <w:spacing w:after="0"/>
              <w:jc w:val="center"/>
            </w:pPr>
            <w:r w:rsidRPr="1AB6159B">
              <w:rPr>
                <w:rFonts w:ascii="Arial Narrow" w:hAnsi="Arial Narrow" w:eastAsia="Arial Narrow" w:cs="Arial Narrow"/>
                <w:color w:val="000000" w:themeColor="text1"/>
              </w:rPr>
              <w:t xml:space="preserve">Se acoge </w:t>
            </w:r>
          </w:p>
        </w:tc>
      </w:tr>
      <w:tr w:rsidR="00B61180" w:rsidTr="00B61180" w14:paraId="25DA337D" w14:textId="77777777">
        <w:trPr>
          <w:trHeight w:val="2280"/>
        </w:trPr>
        <w:tc>
          <w:tcPr>
            <w:tcW w:w="1262" w:type="dxa"/>
            <w:vMerge/>
            <w:tcBorders>
              <w:left w:val="single" w:color="auto" w:sz="0" w:space="0"/>
              <w:bottom w:val="single" w:color="000000" w:themeColor="text1" w:sz="0" w:space="0"/>
              <w:right w:val="single" w:color="auto" w:sz="0" w:space="0"/>
            </w:tcBorders>
            <w:vAlign w:val="center"/>
          </w:tcPr>
          <w:p w:rsidR="00B61180" w:rsidP="00631238" w:rsidRDefault="00B61180" w14:paraId="0A7D129C" w14:textId="77777777"/>
        </w:tc>
        <w:tc>
          <w:tcPr>
            <w:tcW w:w="3668" w:type="dxa"/>
            <w:vMerge/>
            <w:tcBorders>
              <w:left w:val="single" w:color="auto" w:sz="0" w:space="0"/>
              <w:bottom w:val="single" w:color="000000" w:themeColor="text1" w:sz="0" w:space="0"/>
              <w:right w:val="single" w:color="auto" w:sz="0" w:space="0"/>
            </w:tcBorders>
            <w:vAlign w:val="center"/>
          </w:tcPr>
          <w:p w:rsidR="00B61180" w:rsidP="00631238" w:rsidRDefault="00B61180" w14:paraId="7B3F98C0" w14:textId="77777777"/>
        </w:tc>
        <w:tc>
          <w:tcPr>
            <w:tcW w:w="2917" w:type="dxa"/>
            <w:tcBorders>
              <w:top w:val="single" w:color="auto" w:sz="4" w:space="0"/>
              <w:left w:val="nil"/>
              <w:bottom w:val="single" w:color="auto" w:sz="4" w:space="0"/>
              <w:right w:val="single" w:color="auto" w:sz="4" w:space="0"/>
            </w:tcBorders>
            <w:tcMar>
              <w:top w:w="15" w:type="dxa"/>
              <w:left w:w="15" w:type="dxa"/>
              <w:right w:w="15" w:type="dxa"/>
            </w:tcMar>
            <w:vAlign w:val="center"/>
          </w:tcPr>
          <w:p w:rsidR="00B61180" w:rsidP="00631238" w:rsidRDefault="00B61180" w14:paraId="51D3F2CA" w14:textId="77777777">
            <w:pPr>
              <w:spacing w:after="0"/>
              <w:jc w:val="center"/>
            </w:pPr>
            <w:r w:rsidRPr="1AB6159B">
              <w:rPr>
                <w:rFonts w:ascii="Arial Narrow" w:hAnsi="Arial Narrow" w:eastAsia="Arial Narrow" w:cs="Arial Narrow"/>
                <w:color w:val="000000" w:themeColor="text1"/>
              </w:rPr>
              <w:t xml:space="preserve">En relación con la inclusión y funciones de los gestores de páramos será regulada conforme a lo establecido en la Ley 1930 de 2018 y la resolución 814 de 2026. No obstante lo anterior, en la resolución en el parágrafo 4 del artículo 4 se establece que toda organización que busque inscribirse como gestor de páramo o tenga interés en ello debe ser de carácter local. Así mismo, en la resolución se esclarece en su artículo 8 en relación con sus compromisos la necesidad de participar de manera activa y reportar la información requerida para garantizar los procesos de gestión integral del páramo y la correcta aplicación del </w:t>
            </w:r>
            <w:r w:rsidRPr="1AB6159B">
              <w:rPr>
                <w:rFonts w:ascii="Arial Narrow" w:hAnsi="Arial Narrow" w:eastAsia="Arial Narrow" w:cs="Arial Narrow"/>
                <w:color w:val="000000" w:themeColor="text1"/>
              </w:rPr>
              <w:t xml:space="preserve">posterior plan de manejo que se formule para el mismo. </w:t>
            </w:r>
            <w:r>
              <w:br/>
            </w:r>
            <w:r>
              <w:br/>
            </w:r>
            <w:r w:rsidRPr="1AB6159B">
              <w:rPr>
                <w:rFonts w:ascii="Arial Narrow" w:hAnsi="Arial Narrow" w:eastAsia="Arial Narrow" w:cs="Arial Narrow"/>
                <w:color w:val="000000" w:themeColor="text1"/>
              </w:rPr>
              <w:t xml:space="preserve">Es de recordar que las veedurías ciudadanas son mecanismos de participación y control social creadas por los ciudadanos conforme a la Ley 850 de 2003, aunque el Ministerio de Ambiente y Desarrollo sostenible no puede crearlas o dirigirlas, no desconoce que el sistema de fiscalización podrá articular y facilitar el ejercicio de las veedurías ciudadanas que se constituyan conforme a la Ley 850 de 2003. </w:t>
            </w:r>
          </w:p>
        </w:tc>
        <w:tc>
          <w:tcPr>
            <w:tcW w:w="122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B61180" w:rsidP="00631238" w:rsidRDefault="00B61180" w14:paraId="4B15FEBB" w14:textId="77777777">
            <w:pPr>
              <w:spacing w:after="0"/>
              <w:jc w:val="center"/>
            </w:pPr>
            <w:r w:rsidRPr="1AB6159B">
              <w:rPr>
                <w:rFonts w:ascii="Arial Narrow" w:hAnsi="Arial Narrow" w:eastAsia="Arial Narrow" w:cs="Arial Narrow"/>
                <w:color w:val="000000" w:themeColor="text1"/>
              </w:rPr>
              <w:t>Se acoge</w:t>
            </w:r>
          </w:p>
        </w:tc>
      </w:tr>
      <w:tr w:rsidR="00B61180" w:rsidTr="00B61180" w14:paraId="4FBF090F" w14:textId="77777777">
        <w:trPr>
          <w:trHeight w:val="2647"/>
        </w:trPr>
        <w:tc>
          <w:tcPr>
            <w:tcW w:w="1262" w:type="dxa"/>
            <w:vMerge w:val="restart"/>
            <w:tcBorders>
              <w:top w:val="nil"/>
              <w:left w:val="single" w:color="auto" w:sz="4" w:space="0"/>
              <w:bottom w:val="single" w:color="000000" w:themeColor="text1" w:sz="4" w:space="0"/>
              <w:right w:val="single" w:color="auto" w:sz="4" w:space="0"/>
            </w:tcBorders>
            <w:shd w:val="clear" w:color="auto" w:fill="DAF2D0"/>
            <w:tcMar>
              <w:top w:w="15" w:type="dxa"/>
              <w:left w:w="15" w:type="dxa"/>
              <w:right w:w="15" w:type="dxa"/>
            </w:tcMar>
            <w:vAlign w:val="center"/>
          </w:tcPr>
          <w:p w:rsidR="00B61180" w:rsidP="00631238" w:rsidRDefault="00B61180" w14:paraId="3EF5F6EF" w14:textId="77777777">
            <w:pPr>
              <w:spacing w:after="0"/>
              <w:jc w:val="center"/>
            </w:pPr>
            <w:r w:rsidRPr="1AB6159B">
              <w:rPr>
                <w:rFonts w:ascii="Arial Narrow" w:hAnsi="Arial Narrow" w:eastAsia="Arial Narrow" w:cs="Arial Narrow"/>
                <w:b/>
                <w:bCs/>
                <w:color w:val="000000" w:themeColor="text1"/>
              </w:rPr>
              <w:t>Los Patios (NS)</w:t>
            </w:r>
          </w:p>
        </w:tc>
        <w:tc>
          <w:tcPr>
            <w:tcW w:w="3668" w:type="dxa"/>
            <w:vMerge w:val="restart"/>
            <w:tcBorders>
              <w:top w:val="nil"/>
              <w:left w:val="single" w:color="auto" w:sz="4" w:space="0"/>
              <w:bottom w:val="single" w:color="000000" w:themeColor="text1" w:sz="4" w:space="0"/>
              <w:right w:val="single" w:color="auto" w:sz="4" w:space="0"/>
            </w:tcBorders>
            <w:tcMar>
              <w:top w:w="15" w:type="dxa"/>
              <w:left w:w="15" w:type="dxa"/>
              <w:right w:w="15" w:type="dxa"/>
            </w:tcMar>
            <w:vAlign w:val="center"/>
          </w:tcPr>
          <w:p w:rsidR="00B61180" w:rsidP="00631238" w:rsidRDefault="00B61180" w14:paraId="7D0F1553" w14:textId="77777777">
            <w:pPr>
              <w:spacing w:after="0"/>
              <w:jc w:val="center"/>
            </w:pPr>
            <w:r w:rsidRPr="1AB6159B">
              <w:rPr>
                <w:rFonts w:ascii="Arial Narrow" w:hAnsi="Arial Narrow" w:eastAsia="Arial Narrow" w:cs="Arial Narrow"/>
                <w:color w:val="000000" w:themeColor="text1"/>
              </w:rPr>
              <w:t xml:space="preserve">Mediante la mesa de trabajo y deliberación del tema de diálogo No. 3, se acordó que: </w:t>
            </w:r>
            <w:r>
              <w:br/>
            </w:r>
            <w:r w:rsidRPr="1AB6159B">
              <w:rPr>
                <w:rFonts w:ascii="Arial Narrow" w:hAnsi="Arial Narrow" w:eastAsia="Arial Narrow" w:cs="Arial Narrow"/>
                <w:color w:val="000000" w:themeColor="text1"/>
              </w:rPr>
              <w:t>El sistema de fiscalización compuesto por actores, deberes y mecanismos de conformidad con la propuesta del Minambiente que de acuerdo con la visión y sustento comunitario deberá estar integrado por los siguientes atributos:</w:t>
            </w:r>
            <w:r>
              <w:br/>
            </w:r>
            <w:r w:rsidRPr="1AB6159B">
              <w:rPr>
                <w:rFonts w:ascii="Arial Narrow" w:hAnsi="Arial Narrow" w:eastAsia="Arial Narrow" w:cs="Arial Narrow"/>
                <w:color w:val="000000" w:themeColor="text1"/>
              </w:rPr>
              <w:t xml:space="preserve"> -</w:t>
            </w:r>
            <w:r>
              <w:tab/>
            </w:r>
            <w:r w:rsidRPr="1AB6159B">
              <w:rPr>
                <w:rFonts w:ascii="Arial Narrow" w:hAnsi="Arial Narrow" w:eastAsia="Arial Narrow" w:cs="Arial Narrow"/>
                <w:color w:val="000000" w:themeColor="text1"/>
              </w:rPr>
              <w:t>Hubo consenso en que lo actores de fiscalización sean: El Ministerio de Ambiente y Desarrollo Sostenible, las Corporaciones Autónomas Regionales, las Personerías Municipales, los alcaldes Municipales, la Policía, las veedurías ciudadanas y los Gestores de Páramo. Sin embargo, la comunidad solicitó que se revise la pertinencia de incluir en el acto administrativo a las Juntas de Acción Comunal como actores fiscalizadores, ya que luego del diálogo los asistentes consideraron que las JAC pueden realizar vigilancia sobre temas ambientales.</w:t>
            </w:r>
            <w:r>
              <w:br/>
            </w:r>
            <w:r w:rsidRPr="1AB6159B">
              <w:rPr>
                <w:rFonts w:ascii="Arial Narrow" w:hAnsi="Arial Narrow" w:eastAsia="Arial Narrow" w:cs="Arial Narrow"/>
                <w:color w:val="000000" w:themeColor="text1"/>
              </w:rPr>
              <w:t xml:space="preserve"> -</w:t>
            </w:r>
            <w:r>
              <w:tab/>
            </w:r>
            <w:r w:rsidRPr="1AB6159B">
              <w:rPr>
                <w:rFonts w:ascii="Arial Narrow" w:hAnsi="Arial Narrow" w:eastAsia="Arial Narrow" w:cs="Arial Narrow"/>
                <w:color w:val="000000" w:themeColor="text1"/>
              </w:rPr>
              <w:t xml:space="preserve">Se propusieron los siguientes principios: integración, coordinación, concurrencia, integración, participación ciudadana y democracia, solidaridad, equidad, gradualidad, flexibilidad, responsabilidad y transparencia; así mismo, </w:t>
            </w:r>
            <w:r w:rsidRPr="1AB6159B">
              <w:rPr>
                <w:rFonts w:ascii="Arial Narrow" w:hAnsi="Arial Narrow" w:eastAsia="Arial Narrow" w:cs="Arial Narrow"/>
                <w:color w:val="000000" w:themeColor="text1"/>
              </w:rPr>
              <w:t>la comunidad solicitó incluir los principios de publicidad y deber de información.</w:t>
            </w:r>
            <w:r>
              <w:br/>
            </w:r>
            <w:r w:rsidRPr="1AB6159B">
              <w:rPr>
                <w:rFonts w:ascii="Arial Narrow" w:hAnsi="Arial Narrow" w:eastAsia="Arial Narrow" w:cs="Arial Narrow"/>
                <w:color w:val="000000" w:themeColor="text1"/>
              </w:rPr>
              <w:t xml:space="preserve"> -</w:t>
            </w:r>
            <w:r>
              <w:tab/>
            </w:r>
            <w:r w:rsidRPr="1AB6159B">
              <w:rPr>
                <w:rFonts w:ascii="Arial Narrow" w:hAnsi="Arial Narrow" w:eastAsia="Arial Narrow" w:cs="Arial Narrow"/>
                <w:color w:val="000000" w:themeColor="text1"/>
              </w:rPr>
              <w:t>Hubo consenso en que los deberes del sistema de fiscalización son: evaluación, control social, sanción y supervisión.</w:t>
            </w:r>
          </w:p>
        </w:tc>
        <w:tc>
          <w:tcPr>
            <w:tcW w:w="2917"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B61180" w:rsidP="00631238" w:rsidRDefault="00B61180" w14:paraId="46B1FD93" w14:textId="77777777">
            <w:pPr>
              <w:spacing w:after="0"/>
            </w:pPr>
            <w:r w:rsidRPr="1AB6159B">
              <w:rPr>
                <w:rFonts w:ascii="Arial Narrow" w:hAnsi="Arial Narrow" w:eastAsia="Arial Narrow" w:cs="Arial Narrow"/>
                <w:color w:val="000000" w:themeColor="text1"/>
              </w:rPr>
              <w:t xml:space="preserve">Se acogen los principios sugeridos y el sistema de fiscalización presentado durante el espacio, y las propuestas nuevas se integran a los principios ya propuestos para robustecerlos y que puedan reflejar las propuestas de la comunidad. </w:t>
            </w:r>
          </w:p>
        </w:tc>
        <w:tc>
          <w:tcPr>
            <w:tcW w:w="122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B61180" w:rsidP="00631238" w:rsidRDefault="00B61180" w14:paraId="3559C3F3" w14:textId="77777777">
            <w:pPr>
              <w:spacing w:after="0"/>
              <w:jc w:val="center"/>
            </w:pPr>
            <w:r w:rsidRPr="1AB6159B">
              <w:rPr>
                <w:rFonts w:ascii="Arial Narrow" w:hAnsi="Arial Narrow" w:eastAsia="Arial Narrow" w:cs="Arial Narrow"/>
                <w:color w:val="000000" w:themeColor="text1"/>
              </w:rPr>
              <w:t>Se acoge</w:t>
            </w:r>
          </w:p>
        </w:tc>
      </w:tr>
      <w:tr w:rsidR="00B61180" w:rsidTr="00B61180" w14:paraId="6D511B53" w14:textId="77777777">
        <w:trPr>
          <w:trHeight w:val="2460"/>
        </w:trPr>
        <w:tc>
          <w:tcPr>
            <w:tcW w:w="1262" w:type="dxa"/>
            <w:vMerge/>
            <w:tcBorders>
              <w:left w:val="single" w:color="auto" w:sz="0" w:space="0"/>
              <w:bottom w:val="single" w:color="000000" w:themeColor="text1" w:sz="0" w:space="0"/>
              <w:right w:val="single" w:color="auto" w:sz="0" w:space="0"/>
            </w:tcBorders>
            <w:vAlign w:val="center"/>
          </w:tcPr>
          <w:p w:rsidR="00B61180" w:rsidP="00631238" w:rsidRDefault="00B61180" w14:paraId="6ECB5EBC" w14:textId="77777777"/>
        </w:tc>
        <w:tc>
          <w:tcPr>
            <w:tcW w:w="3668" w:type="dxa"/>
            <w:vMerge/>
            <w:tcBorders>
              <w:left w:val="single" w:color="auto" w:sz="0" w:space="0"/>
              <w:bottom w:val="single" w:color="000000" w:themeColor="text1" w:sz="0" w:space="0"/>
              <w:right w:val="single" w:color="auto" w:sz="0" w:space="0"/>
            </w:tcBorders>
            <w:vAlign w:val="center"/>
          </w:tcPr>
          <w:p w:rsidR="00B61180" w:rsidP="00631238" w:rsidRDefault="00B61180" w14:paraId="0AFE4DC8" w14:textId="77777777"/>
        </w:tc>
        <w:tc>
          <w:tcPr>
            <w:tcW w:w="2917" w:type="dxa"/>
            <w:tcBorders>
              <w:top w:val="single" w:color="auto" w:sz="4" w:space="0"/>
              <w:left w:val="nil"/>
              <w:bottom w:val="single" w:color="auto" w:sz="4" w:space="0"/>
              <w:right w:val="single" w:color="auto" w:sz="4" w:space="0"/>
            </w:tcBorders>
            <w:tcMar>
              <w:top w:w="15" w:type="dxa"/>
              <w:left w:w="15" w:type="dxa"/>
              <w:right w:w="15" w:type="dxa"/>
            </w:tcMar>
            <w:vAlign w:val="center"/>
          </w:tcPr>
          <w:p w:rsidR="00B61180" w:rsidP="00631238" w:rsidRDefault="00B61180" w14:paraId="58FAB251" w14:textId="77777777">
            <w:pPr>
              <w:spacing w:after="0"/>
              <w:jc w:val="center"/>
            </w:pPr>
            <w:r w:rsidRPr="1AB6159B">
              <w:rPr>
                <w:rFonts w:ascii="Arial Narrow" w:hAnsi="Arial Narrow" w:eastAsia="Arial Narrow" w:cs="Arial Narrow"/>
                <w:color w:val="000000" w:themeColor="text1"/>
              </w:rPr>
              <w:t xml:space="preserve">En relación con la inclusión y funciones de los gestores de páramos será regulada conforme a lo establecido en la Ley 1930 de 2018 y la resolución 814 de 2026. No obstante lo anterior, en la resolución en el parágrafo 4 del artículo 4 se establece que toda organización que busque inscribirse como gestor de páramo o tenga interés en ello debe ser de carácter local. Así mismo, en la resolución se esclarece en su artículo 8 en relación con sus compromisos la necesidad de participar de manera activa y reportar la información requerida para garantizar los procesos de gestión integral del </w:t>
            </w:r>
            <w:r w:rsidRPr="1AB6159B">
              <w:rPr>
                <w:rFonts w:ascii="Arial Narrow" w:hAnsi="Arial Narrow" w:eastAsia="Arial Narrow" w:cs="Arial Narrow"/>
                <w:color w:val="000000" w:themeColor="text1"/>
              </w:rPr>
              <w:t xml:space="preserve">páramo y la correcta aplicación del posterior plan de manejo que se formule para el mismo. </w:t>
            </w:r>
            <w:r>
              <w:br/>
            </w:r>
            <w:r>
              <w:br/>
            </w:r>
            <w:r w:rsidRPr="1AB6159B">
              <w:rPr>
                <w:rFonts w:ascii="Arial Narrow" w:hAnsi="Arial Narrow" w:eastAsia="Arial Narrow" w:cs="Arial Narrow"/>
                <w:color w:val="000000" w:themeColor="text1"/>
              </w:rPr>
              <w:t xml:space="preserve">Es de recordar que las veedurías ciudadanas son mecanismos de participación y control social creadas por los ciudadanos conforme a la Ley 850 de 2003, aunque el Ministerio de Ambiente y Desarrollo sostenible no puede crearlas o dirigirlas, no desconoce que el sistema de fiscalización podrá articular y facilitar el ejercicio de las veedurías ciudadanas que se constituyan conforme a la Ley 850 de 2003. </w:t>
            </w:r>
          </w:p>
        </w:tc>
        <w:tc>
          <w:tcPr>
            <w:tcW w:w="122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B61180" w:rsidP="00631238" w:rsidRDefault="00B61180" w14:paraId="2497C444" w14:textId="77777777">
            <w:pPr>
              <w:spacing w:after="0"/>
              <w:jc w:val="center"/>
            </w:pPr>
            <w:r w:rsidRPr="1AB6159B">
              <w:rPr>
                <w:rFonts w:ascii="Arial Narrow" w:hAnsi="Arial Narrow" w:eastAsia="Arial Narrow" w:cs="Arial Narrow"/>
                <w:color w:val="000000" w:themeColor="text1"/>
              </w:rPr>
              <w:t>Se acoge parcialmente</w:t>
            </w:r>
          </w:p>
        </w:tc>
      </w:tr>
      <w:tr w:rsidR="00B61180" w:rsidTr="00B61180" w14:paraId="1D3C19BD" w14:textId="77777777">
        <w:trPr>
          <w:trHeight w:val="1545"/>
        </w:trPr>
        <w:tc>
          <w:tcPr>
            <w:tcW w:w="1262" w:type="dxa"/>
            <w:vMerge w:val="restart"/>
            <w:tcBorders>
              <w:top w:val="nil"/>
              <w:left w:val="single" w:color="auto" w:sz="4" w:space="0"/>
              <w:bottom w:val="single" w:color="000000" w:themeColor="text1" w:sz="4" w:space="0"/>
              <w:right w:val="single" w:color="auto" w:sz="4" w:space="0"/>
            </w:tcBorders>
            <w:shd w:val="clear" w:color="auto" w:fill="DAF2D0"/>
            <w:tcMar>
              <w:top w:w="15" w:type="dxa"/>
              <w:left w:w="15" w:type="dxa"/>
              <w:right w:w="15" w:type="dxa"/>
            </w:tcMar>
            <w:vAlign w:val="center"/>
          </w:tcPr>
          <w:p w:rsidR="00B61180" w:rsidP="00631238" w:rsidRDefault="00B61180" w14:paraId="5B9228F3" w14:textId="77777777">
            <w:pPr>
              <w:spacing w:after="0"/>
              <w:jc w:val="center"/>
            </w:pPr>
            <w:r w:rsidRPr="1AB6159B">
              <w:rPr>
                <w:rFonts w:ascii="Arial Narrow" w:hAnsi="Arial Narrow" w:eastAsia="Arial Narrow" w:cs="Arial Narrow"/>
                <w:b/>
                <w:bCs/>
                <w:color w:val="000000" w:themeColor="text1"/>
              </w:rPr>
              <w:t>Pamplonita (NS)</w:t>
            </w:r>
          </w:p>
        </w:tc>
        <w:tc>
          <w:tcPr>
            <w:tcW w:w="3668" w:type="dxa"/>
            <w:vMerge w:val="restart"/>
            <w:tcBorders>
              <w:top w:val="nil"/>
              <w:left w:val="single" w:color="auto" w:sz="4" w:space="0"/>
              <w:bottom w:val="single" w:color="000000" w:themeColor="text1" w:sz="4" w:space="0"/>
              <w:right w:val="single" w:color="auto" w:sz="4" w:space="0"/>
            </w:tcBorders>
            <w:tcMar>
              <w:top w:w="15" w:type="dxa"/>
              <w:left w:w="15" w:type="dxa"/>
              <w:right w:w="15" w:type="dxa"/>
            </w:tcMar>
            <w:vAlign w:val="center"/>
          </w:tcPr>
          <w:p w:rsidR="00B61180" w:rsidP="00631238" w:rsidRDefault="00B61180" w14:paraId="1139DE67" w14:textId="77777777">
            <w:pPr>
              <w:spacing w:after="0"/>
              <w:jc w:val="center"/>
            </w:pPr>
            <w:r w:rsidRPr="1AB6159B">
              <w:rPr>
                <w:rFonts w:ascii="Arial Narrow" w:hAnsi="Arial Narrow" w:eastAsia="Arial Narrow" w:cs="Arial Narrow"/>
                <w:color w:val="000000" w:themeColor="text1"/>
              </w:rPr>
              <w:t xml:space="preserve">Mediante la mesa de trabajo y deliberación del tema de diálogo No. 3, se acordó que: </w:t>
            </w:r>
            <w:r>
              <w:br/>
            </w:r>
            <w:r w:rsidRPr="1AB6159B">
              <w:rPr>
                <w:rFonts w:ascii="Arial Narrow" w:hAnsi="Arial Narrow" w:eastAsia="Arial Narrow" w:cs="Arial Narrow"/>
                <w:color w:val="000000" w:themeColor="text1"/>
              </w:rPr>
              <w:t>El sistema de fiscalización compuesto por actores, deberes y mecanismos de conformidad con la propuesta del Minambiente que de acuerdo con la visión y sustento comunitario deberá estar integrado por los siguientes atributos:</w:t>
            </w:r>
            <w:r>
              <w:br/>
            </w:r>
            <w:r w:rsidRPr="1AB6159B">
              <w:rPr>
                <w:rFonts w:ascii="Arial Narrow" w:hAnsi="Arial Narrow" w:eastAsia="Arial Narrow" w:cs="Arial Narrow"/>
                <w:color w:val="000000" w:themeColor="text1"/>
              </w:rPr>
              <w:t xml:space="preserve"> -</w:t>
            </w:r>
            <w:r>
              <w:tab/>
            </w:r>
            <w:r w:rsidRPr="1AB6159B">
              <w:rPr>
                <w:rFonts w:ascii="Arial Narrow" w:hAnsi="Arial Narrow" w:eastAsia="Arial Narrow" w:cs="Arial Narrow"/>
                <w:color w:val="000000" w:themeColor="text1"/>
              </w:rPr>
              <w:t>Hubo consenso en que los principios del sistema fueran: coordinación y concurrencia, integración, participación ciudadana y democracia, solidaridad, equidad, gradualidad, flexibilidad, responsabilidad y corresponsabilidad, transparencia y acceso a la información, economía y buen gobierno, continuidad y veracidad.</w:t>
            </w:r>
            <w:r>
              <w:br/>
            </w:r>
            <w:r w:rsidRPr="1AB6159B">
              <w:rPr>
                <w:rFonts w:ascii="Arial Narrow" w:hAnsi="Arial Narrow" w:eastAsia="Arial Narrow" w:cs="Arial Narrow"/>
                <w:color w:val="000000" w:themeColor="text1"/>
              </w:rPr>
              <w:t xml:space="preserve"> -</w:t>
            </w:r>
            <w:r>
              <w:tab/>
            </w:r>
            <w:r w:rsidRPr="1AB6159B">
              <w:rPr>
                <w:rFonts w:ascii="Arial Narrow" w:hAnsi="Arial Narrow" w:eastAsia="Arial Narrow" w:cs="Arial Narrow"/>
                <w:color w:val="000000" w:themeColor="text1"/>
              </w:rPr>
              <w:t>Hubo consenso en que lo actores de fiscalización sean: El Ministerio de Ambiente y Desarrollo Sostenible, las Corporaciones Autónomas Regionales, las Personerías Municipales, los alcaldes Municipales, la Policía, las veedurías ciudadanas y los Gestores de Páramo.</w:t>
            </w:r>
            <w:r>
              <w:br/>
            </w:r>
            <w:r w:rsidRPr="1AB6159B">
              <w:rPr>
                <w:rFonts w:ascii="Arial Narrow" w:hAnsi="Arial Narrow" w:eastAsia="Arial Narrow" w:cs="Arial Narrow"/>
                <w:color w:val="000000" w:themeColor="text1"/>
              </w:rPr>
              <w:t xml:space="preserve"> -</w:t>
            </w:r>
            <w:r>
              <w:tab/>
            </w:r>
            <w:r w:rsidRPr="1AB6159B">
              <w:rPr>
                <w:rFonts w:ascii="Arial Narrow" w:hAnsi="Arial Narrow" w:eastAsia="Arial Narrow" w:cs="Arial Narrow"/>
                <w:color w:val="000000" w:themeColor="text1"/>
              </w:rPr>
              <w:t>Hubo consenso en que los deberes del sistema de fiscalización son: evaluación, control social, sanción y supervisión.</w:t>
            </w:r>
          </w:p>
        </w:tc>
        <w:tc>
          <w:tcPr>
            <w:tcW w:w="2917"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B61180" w:rsidP="00631238" w:rsidRDefault="00B61180" w14:paraId="7415CD03" w14:textId="77777777">
            <w:pPr>
              <w:spacing w:after="0"/>
            </w:pPr>
            <w:r w:rsidRPr="1AB6159B">
              <w:rPr>
                <w:rFonts w:ascii="Arial Narrow" w:hAnsi="Arial Narrow" w:eastAsia="Arial Narrow" w:cs="Arial Narrow"/>
                <w:color w:val="000000" w:themeColor="text1"/>
              </w:rPr>
              <w:t xml:space="preserve">Se acogen los principios sugeridos y el sistema de fiscalización presentado durante el espacio, y las propuestas nuevas se integran a los principios ya propuestos para robustecerlos y que puedan reflejar las propuestas de la comunidad. </w:t>
            </w:r>
          </w:p>
        </w:tc>
        <w:tc>
          <w:tcPr>
            <w:tcW w:w="122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B61180" w:rsidP="00631238" w:rsidRDefault="00B61180" w14:paraId="0366E3C1" w14:textId="77777777">
            <w:pPr>
              <w:spacing w:after="0"/>
              <w:jc w:val="center"/>
            </w:pPr>
            <w:r w:rsidRPr="1AB6159B">
              <w:rPr>
                <w:rFonts w:ascii="Arial Narrow" w:hAnsi="Arial Narrow" w:eastAsia="Arial Narrow" w:cs="Arial Narrow"/>
                <w:color w:val="000000" w:themeColor="text1"/>
              </w:rPr>
              <w:t>Se acoge</w:t>
            </w:r>
          </w:p>
        </w:tc>
      </w:tr>
      <w:tr w:rsidR="00B61180" w:rsidTr="00B61180" w14:paraId="20FCBCDF" w14:textId="77777777">
        <w:trPr>
          <w:trHeight w:val="2685"/>
        </w:trPr>
        <w:tc>
          <w:tcPr>
            <w:tcW w:w="1262" w:type="dxa"/>
            <w:vMerge/>
            <w:tcBorders>
              <w:left w:val="single" w:color="auto" w:sz="0" w:space="0"/>
              <w:bottom w:val="single" w:color="000000" w:themeColor="text1" w:sz="0" w:space="0"/>
              <w:right w:val="single" w:color="auto" w:sz="0" w:space="0"/>
            </w:tcBorders>
            <w:vAlign w:val="center"/>
          </w:tcPr>
          <w:p w:rsidR="00B61180" w:rsidP="00631238" w:rsidRDefault="00B61180" w14:paraId="25B42B19" w14:textId="77777777"/>
        </w:tc>
        <w:tc>
          <w:tcPr>
            <w:tcW w:w="3668" w:type="dxa"/>
            <w:vMerge/>
            <w:tcBorders>
              <w:left w:val="single" w:color="auto" w:sz="0" w:space="0"/>
              <w:bottom w:val="single" w:color="000000" w:themeColor="text1" w:sz="0" w:space="0"/>
              <w:right w:val="single" w:color="auto" w:sz="0" w:space="0"/>
            </w:tcBorders>
            <w:vAlign w:val="center"/>
          </w:tcPr>
          <w:p w:rsidR="00B61180" w:rsidP="00631238" w:rsidRDefault="00B61180" w14:paraId="0BE623D8" w14:textId="77777777"/>
        </w:tc>
        <w:tc>
          <w:tcPr>
            <w:tcW w:w="2917" w:type="dxa"/>
            <w:tcBorders>
              <w:top w:val="single" w:color="auto" w:sz="4" w:space="0"/>
              <w:left w:val="nil"/>
              <w:bottom w:val="single" w:color="auto" w:sz="4" w:space="0"/>
              <w:right w:val="single" w:color="auto" w:sz="4" w:space="0"/>
            </w:tcBorders>
            <w:tcMar>
              <w:top w:w="15" w:type="dxa"/>
              <w:left w:w="15" w:type="dxa"/>
              <w:right w:w="15" w:type="dxa"/>
            </w:tcMar>
            <w:vAlign w:val="center"/>
          </w:tcPr>
          <w:p w:rsidR="00B61180" w:rsidP="00631238" w:rsidRDefault="00B61180" w14:paraId="16F9CD12" w14:textId="77777777">
            <w:pPr>
              <w:spacing w:after="0"/>
            </w:pPr>
            <w:r w:rsidRPr="1AB6159B">
              <w:rPr>
                <w:rFonts w:ascii="Arial Narrow" w:hAnsi="Arial Narrow" w:eastAsia="Arial Narrow" w:cs="Arial Narrow"/>
                <w:color w:val="000000" w:themeColor="text1"/>
              </w:rPr>
              <w:t xml:space="preserve">En relación con la inclusión y funciones de los gestores de páramos será regulada conforme a lo establecido en la Ley 1930 de 2018 y la resolución 814 de 2026. No obstante lo anterior, en la resolución en el parágrafo 4 del artículo 4 se establece que toda organización que busque inscribirse como gestor de páramo o tenga interés en ello debe ser de carácter local. Así mismo, en la resolución se esclarece en su artículo 8 en relación con sus compromisos la necesidad de participar de manera activa y reportar la información requerida para garantizar los procesos de gestión integral del páramo y la correcta aplicación del posterior plan de manejo que se </w:t>
            </w:r>
            <w:r w:rsidRPr="1AB6159B">
              <w:rPr>
                <w:rFonts w:ascii="Arial Narrow" w:hAnsi="Arial Narrow" w:eastAsia="Arial Narrow" w:cs="Arial Narrow"/>
                <w:color w:val="000000" w:themeColor="text1"/>
              </w:rPr>
              <w:t xml:space="preserve">formule para el mismo. </w:t>
            </w:r>
            <w:r>
              <w:br/>
            </w:r>
            <w:r>
              <w:br/>
            </w:r>
            <w:r w:rsidRPr="1AB6159B">
              <w:rPr>
                <w:rFonts w:ascii="Arial Narrow" w:hAnsi="Arial Narrow" w:eastAsia="Arial Narrow" w:cs="Arial Narrow"/>
                <w:color w:val="000000" w:themeColor="text1"/>
              </w:rPr>
              <w:t xml:space="preserve">Es de recordar que las veedurías ciudadanas son mecanismos de participación y control social creadas por los ciudadanos conforme a la Ley 850 de 2003, aunque el Ministerio de Ambiente y Desarrollo sostenible no puede crearlas o dirigirlas, no desconoce que el sistema de fiscalización podrá articular y facilitar el ejercicio de las veedurías ciudadanas que se constituyan conforme a la Ley 850 de 2003. </w:t>
            </w:r>
          </w:p>
        </w:tc>
        <w:tc>
          <w:tcPr>
            <w:tcW w:w="122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B61180" w:rsidP="00631238" w:rsidRDefault="00B61180" w14:paraId="083CD67A" w14:textId="77777777">
            <w:pPr>
              <w:spacing w:after="0"/>
              <w:jc w:val="center"/>
            </w:pPr>
            <w:r w:rsidRPr="1AB6159B">
              <w:rPr>
                <w:rFonts w:ascii="Arial Narrow" w:hAnsi="Arial Narrow" w:eastAsia="Arial Narrow" w:cs="Arial Narrow"/>
                <w:color w:val="000000" w:themeColor="text1"/>
              </w:rPr>
              <w:t>Se acoge</w:t>
            </w:r>
          </w:p>
        </w:tc>
      </w:tr>
      <w:tr w:rsidR="00B61180" w:rsidTr="00B61180" w14:paraId="2CCE7E08" w14:textId="77777777">
        <w:trPr>
          <w:trHeight w:val="5010"/>
        </w:trPr>
        <w:tc>
          <w:tcPr>
            <w:tcW w:w="1262" w:type="dxa"/>
            <w:vMerge w:val="restart"/>
            <w:tcBorders>
              <w:top w:val="nil"/>
              <w:left w:val="single" w:color="auto" w:sz="4" w:space="0"/>
              <w:bottom w:val="single" w:color="000000" w:themeColor="text1" w:sz="4" w:space="0"/>
              <w:right w:val="single" w:color="auto" w:sz="4" w:space="0"/>
            </w:tcBorders>
            <w:shd w:val="clear" w:color="auto" w:fill="DAF2D0"/>
            <w:tcMar>
              <w:top w:w="15" w:type="dxa"/>
              <w:left w:w="15" w:type="dxa"/>
              <w:right w:w="15" w:type="dxa"/>
            </w:tcMar>
            <w:vAlign w:val="center"/>
          </w:tcPr>
          <w:p w:rsidR="00B61180" w:rsidP="00631238" w:rsidRDefault="00B61180" w14:paraId="1AE6737B" w14:textId="77777777">
            <w:pPr>
              <w:spacing w:after="0"/>
              <w:jc w:val="center"/>
            </w:pPr>
            <w:r w:rsidRPr="1AB6159B">
              <w:rPr>
                <w:rFonts w:ascii="Arial Narrow" w:hAnsi="Arial Narrow" w:eastAsia="Arial Narrow" w:cs="Arial Narrow"/>
                <w:b/>
                <w:bCs/>
                <w:color w:val="000000" w:themeColor="text1"/>
              </w:rPr>
              <w:t>La Esperanza (NS)</w:t>
            </w:r>
          </w:p>
        </w:tc>
        <w:tc>
          <w:tcPr>
            <w:tcW w:w="3668" w:type="dxa"/>
            <w:vMerge w:val="restart"/>
            <w:tcBorders>
              <w:top w:val="nil"/>
              <w:left w:val="single" w:color="auto" w:sz="4" w:space="0"/>
              <w:bottom w:val="single" w:color="000000" w:themeColor="text1" w:sz="4" w:space="0"/>
              <w:right w:val="single" w:color="auto" w:sz="4" w:space="0"/>
            </w:tcBorders>
            <w:tcMar>
              <w:top w:w="15" w:type="dxa"/>
              <w:left w:w="15" w:type="dxa"/>
              <w:right w:w="15" w:type="dxa"/>
            </w:tcMar>
            <w:vAlign w:val="center"/>
          </w:tcPr>
          <w:p w:rsidR="00B61180" w:rsidP="00631238" w:rsidRDefault="00B61180" w14:paraId="15E8FF91" w14:textId="77777777">
            <w:pPr>
              <w:spacing w:after="0"/>
              <w:jc w:val="center"/>
            </w:pPr>
            <w:r w:rsidRPr="1AB6159B">
              <w:rPr>
                <w:rFonts w:ascii="Arial Narrow" w:hAnsi="Arial Narrow" w:eastAsia="Arial Narrow" w:cs="Arial Narrow"/>
                <w:color w:val="000000" w:themeColor="text1"/>
              </w:rPr>
              <w:t xml:space="preserve">Mediante la mesa de trabajo y deliberación del tema de diálogo No. 3, se acordó que: </w:t>
            </w:r>
            <w:r>
              <w:br/>
            </w:r>
            <w:r w:rsidRPr="1AB6159B">
              <w:rPr>
                <w:rFonts w:ascii="Arial Narrow" w:hAnsi="Arial Narrow" w:eastAsia="Arial Narrow" w:cs="Arial Narrow"/>
                <w:color w:val="000000" w:themeColor="text1"/>
              </w:rPr>
              <w:t>El sistema de fiscalización compuesto por actores, deberes y mecanismos de conformidad con la propuesta del Minambiente que de acuerdo con la visión y sustento comunitario deberá estar integrado por los siguientes atributos:</w:t>
            </w:r>
            <w:r>
              <w:br/>
            </w:r>
            <w:r w:rsidRPr="1AB6159B">
              <w:rPr>
                <w:rFonts w:ascii="Arial Narrow" w:hAnsi="Arial Narrow" w:eastAsia="Arial Narrow" w:cs="Arial Narrow"/>
                <w:color w:val="000000" w:themeColor="text1"/>
              </w:rPr>
              <w:t xml:space="preserve"> -</w:t>
            </w:r>
            <w:r>
              <w:tab/>
            </w:r>
            <w:r w:rsidRPr="1AB6159B">
              <w:rPr>
                <w:rFonts w:ascii="Arial Narrow" w:hAnsi="Arial Narrow" w:eastAsia="Arial Narrow" w:cs="Arial Narrow"/>
                <w:color w:val="000000" w:themeColor="text1"/>
              </w:rPr>
              <w:t>Hubo consenso en que los principios del sistema fueran: coordinación y concurrencia, integración, participación ciudadana y democracia, solidaridad, equidad, gradualidad, flexibilidad, responsabilidad y corresponsabilidad, transparencia y acceso a la información, economía y buen gobierno, continuidad y veracidad.</w:t>
            </w:r>
            <w:r>
              <w:br/>
            </w:r>
            <w:r w:rsidRPr="1AB6159B">
              <w:rPr>
                <w:rFonts w:ascii="Arial Narrow" w:hAnsi="Arial Narrow" w:eastAsia="Arial Narrow" w:cs="Arial Narrow"/>
                <w:color w:val="000000" w:themeColor="text1"/>
              </w:rPr>
              <w:t xml:space="preserve"> -</w:t>
            </w:r>
            <w:r>
              <w:tab/>
            </w:r>
            <w:r w:rsidRPr="1AB6159B">
              <w:rPr>
                <w:rFonts w:ascii="Arial Narrow" w:hAnsi="Arial Narrow" w:eastAsia="Arial Narrow" w:cs="Arial Narrow"/>
                <w:color w:val="000000" w:themeColor="text1"/>
              </w:rPr>
              <w:t xml:space="preserve">Hubo consenso en que lo actores </w:t>
            </w:r>
            <w:r w:rsidRPr="1AB6159B">
              <w:rPr>
                <w:rFonts w:ascii="Arial Narrow" w:hAnsi="Arial Narrow" w:eastAsia="Arial Narrow" w:cs="Arial Narrow"/>
                <w:color w:val="000000" w:themeColor="text1"/>
              </w:rPr>
              <w:t>de fiscalización sean: El Ministerio de Ambiente y Desarrollo Sostenible, las Corporaciones Autónomas Regionales, las Personerías Municipales, los alcaldes Municipales, la Policía, las veedurías ciudadanas y los Gestores de Páramo.</w:t>
            </w:r>
            <w:r>
              <w:br/>
            </w:r>
            <w:r w:rsidRPr="1AB6159B">
              <w:rPr>
                <w:rFonts w:ascii="Arial Narrow" w:hAnsi="Arial Narrow" w:eastAsia="Arial Narrow" w:cs="Arial Narrow"/>
                <w:color w:val="000000" w:themeColor="text1"/>
              </w:rPr>
              <w:t xml:space="preserve"> -</w:t>
            </w:r>
            <w:r>
              <w:tab/>
            </w:r>
            <w:r w:rsidRPr="1AB6159B">
              <w:rPr>
                <w:rFonts w:ascii="Arial Narrow" w:hAnsi="Arial Narrow" w:eastAsia="Arial Narrow" w:cs="Arial Narrow"/>
                <w:color w:val="000000" w:themeColor="text1"/>
              </w:rPr>
              <w:t>Hubo consenso en que los deberes del sistema de fiscalización son: evaluación, control social, sanción y supervisión.</w:t>
            </w:r>
          </w:p>
        </w:tc>
        <w:tc>
          <w:tcPr>
            <w:tcW w:w="2917"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B61180" w:rsidP="00631238" w:rsidRDefault="00B61180" w14:paraId="26A114E6" w14:textId="77777777">
            <w:pPr>
              <w:spacing w:after="0"/>
            </w:pPr>
            <w:r w:rsidRPr="1AB6159B">
              <w:rPr>
                <w:rFonts w:ascii="Arial Narrow" w:hAnsi="Arial Narrow" w:eastAsia="Arial Narrow" w:cs="Arial Narrow"/>
                <w:color w:val="000000" w:themeColor="text1"/>
              </w:rPr>
              <w:t xml:space="preserve">Se acogen los principios sugeridos y el sistema de fiscalización presentado durante el espacio, y las propuestas nuevas se integran a los principios ya propuestos para robustecerlos y que puedan reflejar las propuestas de la comunidad. </w:t>
            </w:r>
          </w:p>
        </w:tc>
        <w:tc>
          <w:tcPr>
            <w:tcW w:w="122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B61180" w:rsidP="00631238" w:rsidRDefault="00B61180" w14:paraId="0CAB9061" w14:textId="77777777">
            <w:pPr>
              <w:spacing w:after="0"/>
              <w:jc w:val="center"/>
            </w:pPr>
            <w:r w:rsidRPr="1AB6159B">
              <w:rPr>
                <w:rFonts w:ascii="Arial Narrow" w:hAnsi="Arial Narrow" w:eastAsia="Arial Narrow" w:cs="Arial Narrow"/>
                <w:color w:val="000000" w:themeColor="text1"/>
              </w:rPr>
              <w:t xml:space="preserve">Se acoge </w:t>
            </w:r>
          </w:p>
        </w:tc>
      </w:tr>
      <w:tr w:rsidR="00B61180" w:rsidTr="00B61180" w14:paraId="350164C3" w14:textId="77777777">
        <w:trPr>
          <w:trHeight w:val="3495"/>
        </w:trPr>
        <w:tc>
          <w:tcPr>
            <w:tcW w:w="1262" w:type="dxa"/>
            <w:vMerge/>
            <w:tcBorders>
              <w:left w:val="single" w:color="auto" w:sz="0" w:space="0"/>
              <w:bottom w:val="single" w:color="000000" w:themeColor="text1" w:sz="0" w:space="0"/>
              <w:right w:val="single" w:color="auto" w:sz="0" w:space="0"/>
            </w:tcBorders>
            <w:vAlign w:val="center"/>
          </w:tcPr>
          <w:p w:rsidR="00B61180" w:rsidP="00631238" w:rsidRDefault="00B61180" w14:paraId="08C5B381" w14:textId="77777777"/>
        </w:tc>
        <w:tc>
          <w:tcPr>
            <w:tcW w:w="3668" w:type="dxa"/>
            <w:vMerge/>
            <w:tcBorders>
              <w:left w:val="single" w:color="auto" w:sz="0" w:space="0"/>
              <w:bottom w:val="single" w:color="000000" w:themeColor="text1" w:sz="0" w:space="0"/>
              <w:right w:val="single" w:color="auto" w:sz="0" w:space="0"/>
            </w:tcBorders>
            <w:vAlign w:val="center"/>
          </w:tcPr>
          <w:p w:rsidR="00B61180" w:rsidP="00631238" w:rsidRDefault="00B61180" w14:paraId="238410FD" w14:textId="77777777"/>
        </w:tc>
        <w:tc>
          <w:tcPr>
            <w:tcW w:w="2917" w:type="dxa"/>
            <w:tcBorders>
              <w:top w:val="single" w:color="auto" w:sz="4" w:space="0"/>
              <w:left w:val="nil"/>
              <w:bottom w:val="single" w:color="auto" w:sz="4" w:space="0"/>
              <w:right w:val="single" w:color="auto" w:sz="4" w:space="0"/>
            </w:tcBorders>
            <w:tcMar>
              <w:top w:w="15" w:type="dxa"/>
              <w:left w:w="15" w:type="dxa"/>
              <w:right w:w="15" w:type="dxa"/>
            </w:tcMar>
            <w:vAlign w:val="center"/>
          </w:tcPr>
          <w:p w:rsidR="00B61180" w:rsidP="00631238" w:rsidRDefault="00B61180" w14:paraId="1C8C8B6F" w14:textId="77777777">
            <w:pPr>
              <w:spacing w:after="0"/>
            </w:pPr>
            <w:r w:rsidRPr="1AB6159B">
              <w:rPr>
                <w:rFonts w:ascii="Arial Narrow" w:hAnsi="Arial Narrow" w:eastAsia="Arial Narrow" w:cs="Arial Narrow"/>
                <w:color w:val="000000" w:themeColor="text1"/>
              </w:rPr>
              <w:t xml:space="preserve">En relación con la inclusión y funciones de los gestores de páramos será regulada conforme a lo establecido en la Ley 1930 de 2018 y la resolución 814 de 2026. No obstante lo anterior, en la resolución en el parágrafo 4 del artículo 4 se establece que toda organización que busque inscribirse como gestor de páramo o tenga interés en ello debe ser de carácter local. Así mismo, en la resolución se esclarece en su artículo 8 en relación con sus compromisos la necesidad de participar de manera activa y reportar la información requerida para garantizar los procesos de gestión integral del páramo y la correcta aplicación del posterior plan de manejo que se formule para el mismo. </w:t>
            </w:r>
            <w:r>
              <w:br/>
            </w:r>
            <w:r>
              <w:br/>
            </w:r>
            <w:r w:rsidRPr="1AB6159B">
              <w:rPr>
                <w:rFonts w:ascii="Arial Narrow" w:hAnsi="Arial Narrow" w:eastAsia="Arial Narrow" w:cs="Arial Narrow"/>
                <w:color w:val="000000" w:themeColor="text1"/>
              </w:rPr>
              <w:t xml:space="preserve">Es de recordar que las veedurías ciudadanas son mecanismos de participación y control social creadas por los ciudadanos conforme a la Ley 850 de 2003, aunque el Ministerio de Ambiente y Desarrollo sostenible no puede crearlas o dirigirlas, no desconoce que el sistema de fiscalización podrá articular y facilitar el ejercicio de las veedurías ciudadanas que se constituyan conforme a la Ley 850 de 2003. </w:t>
            </w:r>
          </w:p>
        </w:tc>
        <w:tc>
          <w:tcPr>
            <w:tcW w:w="122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B61180" w:rsidP="00631238" w:rsidRDefault="00B61180" w14:paraId="56CDECC7" w14:textId="77777777">
            <w:pPr>
              <w:spacing w:after="0"/>
              <w:jc w:val="center"/>
            </w:pPr>
            <w:r w:rsidRPr="1AB6159B">
              <w:rPr>
                <w:rFonts w:ascii="Arial Narrow" w:hAnsi="Arial Narrow" w:eastAsia="Arial Narrow" w:cs="Arial Narrow"/>
                <w:color w:val="000000" w:themeColor="text1"/>
              </w:rPr>
              <w:t>Se acoge</w:t>
            </w:r>
          </w:p>
        </w:tc>
      </w:tr>
      <w:tr w:rsidR="00B61180" w:rsidTr="00B61180" w14:paraId="27477190" w14:textId="77777777">
        <w:trPr>
          <w:trHeight w:val="3677"/>
        </w:trPr>
        <w:tc>
          <w:tcPr>
            <w:tcW w:w="1262" w:type="dxa"/>
            <w:vMerge w:val="restart"/>
            <w:tcBorders>
              <w:top w:val="nil"/>
              <w:left w:val="single" w:color="auto" w:sz="4" w:space="0"/>
              <w:bottom w:val="single" w:color="000000" w:themeColor="text1" w:sz="4" w:space="0"/>
              <w:right w:val="single" w:color="auto" w:sz="4" w:space="0"/>
            </w:tcBorders>
            <w:shd w:val="clear" w:color="auto" w:fill="DAF2D0"/>
            <w:tcMar>
              <w:top w:w="15" w:type="dxa"/>
              <w:left w:w="15" w:type="dxa"/>
              <w:right w:w="15" w:type="dxa"/>
            </w:tcMar>
            <w:vAlign w:val="center"/>
          </w:tcPr>
          <w:p w:rsidR="00B61180" w:rsidP="00631238" w:rsidRDefault="00B61180" w14:paraId="118357D9" w14:textId="77777777">
            <w:pPr>
              <w:spacing w:after="0"/>
              <w:jc w:val="center"/>
            </w:pPr>
            <w:r w:rsidRPr="1AB6159B">
              <w:rPr>
                <w:rFonts w:ascii="Arial Narrow" w:hAnsi="Arial Narrow" w:eastAsia="Arial Narrow" w:cs="Arial Narrow"/>
                <w:b/>
                <w:bCs/>
                <w:color w:val="000000" w:themeColor="text1"/>
              </w:rPr>
              <w:t>Puerto Santander (NS)</w:t>
            </w:r>
          </w:p>
        </w:tc>
        <w:tc>
          <w:tcPr>
            <w:tcW w:w="3668" w:type="dxa"/>
            <w:vMerge w:val="restart"/>
            <w:tcBorders>
              <w:top w:val="nil"/>
              <w:left w:val="single" w:color="auto" w:sz="4" w:space="0"/>
              <w:bottom w:val="single" w:color="000000" w:themeColor="text1" w:sz="4" w:space="0"/>
              <w:right w:val="single" w:color="auto" w:sz="4" w:space="0"/>
            </w:tcBorders>
            <w:tcMar>
              <w:top w:w="15" w:type="dxa"/>
              <w:left w:w="15" w:type="dxa"/>
              <w:right w:w="15" w:type="dxa"/>
            </w:tcMar>
            <w:vAlign w:val="center"/>
          </w:tcPr>
          <w:p w:rsidR="00B61180" w:rsidP="00631238" w:rsidRDefault="00B61180" w14:paraId="76CDCC7C" w14:textId="77777777">
            <w:pPr>
              <w:spacing w:after="0"/>
              <w:jc w:val="center"/>
            </w:pPr>
            <w:r w:rsidRPr="1AB6159B">
              <w:rPr>
                <w:rFonts w:ascii="Arial Narrow" w:hAnsi="Arial Narrow" w:eastAsia="Arial Narrow" w:cs="Arial Narrow"/>
                <w:color w:val="000000" w:themeColor="text1"/>
              </w:rPr>
              <w:t xml:space="preserve">Mediante la mesa de trabajo y deliberación del tema de diálogo No. 3, se acordó que: </w:t>
            </w:r>
            <w:r>
              <w:br/>
            </w:r>
            <w:r w:rsidRPr="1AB6159B">
              <w:rPr>
                <w:rFonts w:ascii="Arial Narrow" w:hAnsi="Arial Narrow" w:eastAsia="Arial Narrow" w:cs="Arial Narrow"/>
                <w:color w:val="000000" w:themeColor="text1"/>
              </w:rPr>
              <w:t>El sistema de fiscalización compuesto por actores, deberes y mecanismos de conformidad con la propuesta del Minambiente que de acuerdo con la visión y sustento comunitario deberá estar integrado por los siguientes atributos:</w:t>
            </w:r>
            <w:r>
              <w:br/>
            </w:r>
            <w:r w:rsidRPr="1AB6159B">
              <w:rPr>
                <w:rFonts w:ascii="Arial Narrow" w:hAnsi="Arial Narrow" w:eastAsia="Arial Narrow" w:cs="Arial Narrow"/>
                <w:color w:val="000000" w:themeColor="text1"/>
              </w:rPr>
              <w:t xml:space="preserve"> -</w:t>
            </w:r>
            <w:r>
              <w:tab/>
            </w:r>
            <w:r w:rsidRPr="1AB6159B">
              <w:rPr>
                <w:rFonts w:ascii="Arial Narrow" w:hAnsi="Arial Narrow" w:eastAsia="Arial Narrow" w:cs="Arial Narrow"/>
                <w:color w:val="000000" w:themeColor="text1"/>
              </w:rPr>
              <w:t xml:space="preserve">Hubo consenso en que lo actores de fiscalización sean: El Ministerio de Ambiente y Desarrollo Sostenible, las Corporaciones Autónomas Regionales, las Personerías Municipales, los Alcaldes Municipales, la Fuerza Pública, las Veedurías Ciudadanas y los Gestores de Páramo. </w:t>
            </w:r>
            <w:r>
              <w:br/>
            </w:r>
            <w:r w:rsidRPr="1AB6159B">
              <w:rPr>
                <w:rFonts w:ascii="Arial Narrow" w:hAnsi="Arial Narrow" w:eastAsia="Arial Narrow" w:cs="Arial Narrow"/>
                <w:color w:val="000000" w:themeColor="text1"/>
              </w:rPr>
              <w:t>-</w:t>
            </w:r>
            <w:r>
              <w:tab/>
            </w:r>
            <w:r w:rsidRPr="1AB6159B">
              <w:rPr>
                <w:rFonts w:ascii="Arial Narrow" w:hAnsi="Arial Narrow" w:eastAsia="Arial Narrow" w:cs="Arial Narrow"/>
                <w:color w:val="000000" w:themeColor="text1"/>
              </w:rPr>
              <w:t>Se propusieron los siguientes principios: Legalidad, Transparencia, eficiencia, responsabilidad, compromiso, planeación, participación, equidad, coordinación, articulación y alteridad.</w:t>
            </w:r>
            <w:r>
              <w:br/>
            </w:r>
            <w:r w:rsidRPr="1AB6159B">
              <w:rPr>
                <w:rFonts w:ascii="Arial Narrow" w:hAnsi="Arial Narrow" w:eastAsia="Arial Narrow" w:cs="Arial Narrow"/>
                <w:color w:val="000000" w:themeColor="text1"/>
              </w:rPr>
              <w:t xml:space="preserve"> -</w:t>
            </w:r>
            <w:r>
              <w:tab/>
            </w:r>
            <w:r w:rsidRPr="1AB6159B">
              <w:rPr>
                <w:rFonts w:ascii="Arial Narrow" w:hAnsi="Arial Narrow" w:eastAsia="Arial Narrow" w:cs="Arial Narrow"/>
                <w:color w:val="000000" w:themeColor="text1"/>
              </w:rPr>
              <w:t>Hubo consenso en que los deberes del sistema de fiscalización son: evaluación, control social, sanción y supervisión.</w:t>
            </w:r>
          </w:p>
        </w:tc>
        <w:tc>
          <w:tcPr>
            <w:tcW w:w="2917"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B61180" w:rsidP="00631238" w:rsidRDefault="00B61180" w14:paraId="502ABB24" w14:textId="77777777">
            <w:pPr>
              <w:spacing w:after="0"/>
            </w:pPr>
            <w:r w:rsidRPr="1AB6159B">
              <w:rPr>
                <w:rFonts w:ascii="Arial Narrow" w:hAnsi="Arial Narrow" w:eastAsia="Arial Narrow" w:cs="Arial Narrow"/>
                <w:color w:val="000000" w:themeColor="text1"/>
              </w:rPr>
              <w:t xml:space="preserve">Se acogen los principios sugeridos y el sistema de fiscalización presentado durante el espacio, y las propuestas nuevas se integran a los principios ya propuestos para robustecerlos y que puedan reflejar las propuestas de la comunidad. </w:t>
            </w:r>
          </w:p>
        </w:tc>
        <w:tc>
          <w:tcPr>
            <w:tcW w:w="122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B61180" w:rsidP="00631238" w:rsidRDefault="00B61180" w14:paraId="125A24EE" w14:textId="77777777">
            <w:pPr>
              <w:spacing w:after="0"/>
              <w:jc w:val="center"/>
            </w:pPr>
            <w:r w:rsidRPr="1AB6159B">
              <w:rPr>
                <w:rFonts w:ascii="Arial Narrow" w:hAnsi="Arial Narrow" w:eastAsia="Arial Narrow" w:cs="Arial Narrow"/>
                <w:color w:val="000000" w:themeColor="text1"/>
              </w:rPr>
              <w:t xml:space="preserve">Se acoge </w:t>
            </w:r>
          </w:p>
        </w:tc>
      </w:tr>
      <w:tr w:rsidR="00B61180" w:rsidTr="00B61180" w14:paraId="29504188" w14:textId="77777777">
        <w:trPr>
          <w:trHeight w:val="2253"/>
        </w:trPr>
        <w:tc>
          <w:tcPr>
            <w:tcW w:w="1262" w:type="dxa"/>
            <w:vMerge/>
            <w:tcBorders>
              <w:left w:val="single" w:color="auto" w:sz="0" w:space="0"/>
              <w:bottom w:val="single" w:color="000000" w:themeColor="text1" w:sz="0" w:space="0"/>
              <w:right w:val="single" w:color="auto" w:sz="0" w:space="0"/>
            </w:tcBorders>
            <w:vAlign w:val="center"/>
          </w:tcPr>
          <w:p w:rsidR="00B61180" w:rsidP="00631238" w:rsidRDefault="00B61180" w14:paraId="7ADC7681" w14:textId="77777777"/>
        </w:tc>
        <w:tc>
          <w:tcPr>
            <w:tcW w:w="3668" w:type="dxa"/>
            <w:vMerge/>
            <w:tcBorders>
              <w:left w:val="single" w:color="auto" w:sz="0" w:space="0"/>
              <w:bottom w:val="single" w:color="000000" w:themeColor="text1" w:sz="0" w:space="0"/>
              <w:right w:val="single" w:color="auto" w:sz="0" w:space="0"/>
            </w:tcBorders>
            <w:vAlign w:val="center"/>
          </w:tcPr>
          <w:p w:rsidR="00B61180" w:rsidP="00631238" w:rsidRDefault="00B61180" w14:paraId="76BB20DB" w14:textId="77777777"/>
        </w:tc>
        <w:tc>
          <w:tcPr>
            <w:tcW w:w="2917" w:type="dxa"/>
            <w:tcBorders>
              <w:top w:val="single" w:color="auto" w:sz="4" w:space="0"/>
              <w:left w:val="nil"/>
              <w:bottom w:val="single" w:color="auto" w:sz="4" w:space="0"/>
              <w:right w:val="single" w:color="auto" w:sz="4" w:space="0"/>
            </w:tcBorders>
            <w:tcMar>
              <w:top w:w="15" w:type="dxa"/>
              <w:left w:w="15" w:type="dxa"/>
              <w:right w:w="15" w:type="dxa"/>
            </w:tcMar>
            <w:vAlign w:val="center"/>
          </w:tcPr>
          <w:p w:rsidR="00B61180" w:rsidP="00631238" w:rsidRDefault="00B61180" w14:paraId="03E86447" w14:textId="77777777">
            <w:pPr>
              <w:spacing w:after="0"/>
            </w:pPr>
            <w:r w:rsidRPr="1AB6159B">
              <w:rPr>
                <w:rFonts w:ascii="Arial Narrow" w:hAnsi="Arial Narrow" w:eastAsia="Arial Narrow" w:cs="Arial Narrow"/>
                <w:color w:val="000000" w:themeColor="text1"/>
              </w:rPr>
              <w:t xml:space="preserve">En relación con la inclusión y funciones de los gestores de páramos será regulada conforme a lo establecido en la Ley 1930 de 2018 y la resolución 814 de 2026. No obstante lo anterior, en la resolución en el parágrafo 4 del artículo 4 se establece que toda organización que busque inscribirse como gestor de páramo o tenga interés en ello debe ser de carácter local. Así mismo, en la resolución se esclarece en su artículo 8 en relación con sus compromisos la necesidad de participar de manera activa y reportar la información requerida para garantizar los procesos de gestión integral del páramo y la correcta aplicación del posterior plan de manejo que se formule para el mismo. </w:t>
            </w:r>
            <w:r>
              <w:br/>
            </w:r>
            <w:r>
              <w:br/>
            </w:r>
            <w:r w:rsidRPr="1AB6159B">
              <w:rPr>
                <w:rFonts w:ascii="Arial Narrow" w:hAnsi="Arial Narrow" w:eastAsia="Arial Narrow" w:cs="Arial Narrow"/>
                <w:color w:val="000000" w:themeColor="text1"/>
              </w:rPr>
              <w:t xml:space="preserve">Es de recordar que las veedurías ciudadanas son mecanismos de participación y control social creadas por los ciudadanos conforme a la Ley 850 de 2003, aunque el Ministerio de Ambiente y Desarrollo sostenible no puede crearlas o dirigirlas, no desconoce </w:t>
            </w:r>
            <w:r w:rsidRPr="1AB6159B">
              <w:rPr>
                <w:rFonts w:ascii="Arial Narrow" w:hAnsi="Arial Narrow" w:eastAsia="Arial Narrow" w:cs="Arial Narrow"/>
                <w:color w:val="000000" w:themeColor="text1"/>
              </w:rPr>
              <w:t xml:space="preserve">que el sistema de fiscalización podrá articular y facilitar el ejercicio de las veedurías ciudadanas que se constituyan conforme a la Ley 850 de 2003. </w:t>
            </w:r>
          </w:p>
        </w:tc>
        <w:tc>
          <w:tcPr>
            <w:tcW w:w="122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B61180" w:rsidP="00631238" w:rsidRDefault="00B61180" w14:paraId="055BAEDF" w14:textId="77777777">
            <w:pPr>
              <w:spacing w:after="0"/>
              <w:jc w:val="center"/>
            </w:pPr>
            <w:r w:rsidRPr="1AB6159B">
              <w:rPr>
                <w:rFonts w:ascii="Arial Narrow" w:hAnsi="Arial Narrow" w:eastAsia="Arial Narrow" w:cs="Arial Narrow"/>
                <w:color w:val="000000" w:themeColor="text1"/>
              </w:rPr>
              <w:t>Se acoge</w:t>
            </w:r>
          </w:p>
        </w:tc>
      </w:tr>
      <w:tr w:rsidR="00B61180" w:rsidTr="00B61180" w14:paraId="37ABD966" w14:textId="77777777">
        <w:trPr>
          <w:trHeight w:val="5640"/>
        </w:trPr>
        <w:tc>
          <w:tcPr>
            <w:tcW w:w="1262" w:type="dxa"/>
            <w:vMerge w:val="restart"/>
            <w:tcBorders>
              <w:top w:val="nil"/>
              <w:left w:val="single" w:color="auto" w:sz="4" w:space="0"/>
              <w:bottom w:val="single" w:color="000000" w:themeColor="text1" w:sz="4" w:space="0"/>
              <w:right w:val="single" w:color="auto" w:sz="4" w:space="0"/>
            </w:tcBorders>
            <w:shd w:val="clear" w:color="auto" w:fill="DAF2D0"/>
            <w:tcMar>
              <w:top w:w="15" w:type="dxa"/>
              <w:left w:w="15" w:type="dxa"/>
              <w:right w:w="15" w:type="dxa"/>
            </w:tcMar>
            <w:vAlign w:val="center"/>
          </w:tcPr>
          <w:p w:rsidR="00B61180" w:rsidP="00631238" w:rsidRDefault="00B61180" w14:paraId="06EED1CE" w14:textId="77777777">
            <w:pPr>
              <w:spacing w:after="0"/>
              <w:jc w:val="center"/>
            </w:pPr>
            <w:r w:rsidRPr="1AB6159B">
              <w:rPr>
                <w:rFonts w:ascii="Arial Narrow" w:hAnsi="Arial Narrow" w:eastAsia="Arial Narrow" w:cs="Arial Narrow"/>
                <w:b/>
                <w:bCs/>
                <w:color w:val="000000" w:themeColor="text1"/>
              </w:rPr>
              <w:t>Santiago (NS)</w:t>
            </w:r>
          </w:p>
        </w:tc>
        <w:tc>
          <w:tcPr>
            <w:tcW w:w="3668" w:type="dxa"/>
            <w:vMerge w:val="restart"/>
            <w:tcBorders>
              <w:top w:val="nil"/>
              <w:left w:val="single" w:color="auto" w:sz="4" w:space="0"/>
              <w:bottom w:val="single" w:color="000000" w:themeColor="text1" w:sz="4" w:space="0"/>
              <w:right w:val="single" w:color="auto" w:sz="4" w:space="0"/>
            </w:tcBorders>
            <w:tcMar>
              <w:top w:w="15" w:type="dxa"/>
              <w:left w:w="15" w:type="dxa"/>
              <w:right w:w="15" w:type="dxa"/>
            </w:tcMar>
            <w:vAlign w:val="center"/>
          </w:tcPr>
          <w:p w:rsidR="00B61180" w:rsidP="00631238" w:rsidRDefault="00B61180" w14:paraId="12F385AF" w14:textId="77777777">
            <w:pPr>
              <w:spacing w:after="0"/>
              <w:jc w:val="center"/>
            </w:pPr>
            <w:r w:rsidRPr="1AB6159B">
              <w:rPr>
                <w:rFonts w:ascii="Arial Narrow" w:hAnsi="Arial Narrow" w:eastAsia="Arial Narrow" w:cs="Arial Narrow"/>
                <w:color w:val="000000" w:themeColor="text1"/>
              </w:rPr>
              <w:t xml:space="preserve">Mediante la mesa de trabajo y deliberación del tema de diálogo No. 3, se acordó que: </w:t>
            </w:r>
            <w:r>
              <w:br/>
            </w:r>
            <w:r w:rsidRPr="1AB6159B">
              <w:rPr>
                <w:rFonts w:ascii="Arial Narrow" w:hAnsi="Arial Narrow" w:eastAsia="Arial Narrow" w:cs="Arial Narrow"/>
                <w:color w:val="000000" w:themeColor="text1"/>
              </w:rPr>
              <w:t>El sistema de fiscalización compuesto por actores, deberes y mecanismos de conformidad con la propuesta del Minambiente que de acuerdo con la visión y sustento comunitario deberá estar integrado por los siguientes atributos:</w:t>
            </w:r>
            <w:r>
              <w:br/>
            </w:r>
            <w:r w:rsidRPr="1AB6159B">
              <w:rPr>
                <w:rFonts w:ascii="Arial Narrow" w:hAnsi="Arial Narrow" w:eastAsia="Arial Narrow" w:cs="Arial Narrow"/>
                <w:color w:val="000000" w:themeColor="text1"/>
              </w:rPr>
              <w:t xml:space="preserve"> -</w:t>
            </w:r>
            <w:r>
              <w:tab/>
            </w:r>
            <w:r w:rsidRPr="1AB6159B">
              <w:rPr>
                <w:rFonts w:ascii="Arial Narrow" w:hAnsi="Arial Narrow" w:eastAsia="Arial Narrow" w:cs="Arial Narrow"/>
                <w:color w:val="000000" w:themeColor="text1"/>
              </w:rPr>
              <w:t xml:space="preserve">Hubo consenso en que lo actores de fiscalización sean: El Ministerio de Ambiente y Desarrollo Sostenible, las Corporaciones Autónomas Regionales, las Personerías Municipales, los Alcaldes Municipales, la Fuerza Pública, las Veedurías Ciudadanas y los Gestores de Páramo. </w:t>
            </w:r>
            <w:r>
              <w:br/>
            </w:r>
            <w:r w:rsidRPr="1AB6159B">
              <w:rPr>
                <w:rFonts w:ascii="Arial Narrow" w:hAnsi="Arial Narrow" w:eastAsia="Arial Narrow" w:cs="Arial Narrow"/>
                <w:color w:val="000000" w:themeColor="text1"/>
              </w:rPr>
              <w:t>-</w:t>
            </w:r>
            <w:r>
              <w:tab/>
            </w:r>
            <w:r w:rsidRPr="1AB6159B">
              <w:rPr>
                <w:rFonts w:ascii="Arial Narrow" w:hAnsi="Arial Narrow" w:eastAsia="Arial Narrow" w:cs="Arial Narrow"/>
                <w:color w:val="000000" w:themeColor="text1"/>
              </w:rPr>
              <w:t xml:space="preserve">Se propusieron los siguientes principios: Transparencia, Eficacia, Eficiencia, Legalidad, Celeridad, Integración, Participación, Comunicación, Planeación, </w:t>
            </w:r>
            <w:r w:rsidRPr="1AB6159B">
              <w:rPr>
                <w:rFonts w:ascii="Arial Narrow" w:hAnsi="Arial Narrow" w:eastAsia="Arial Narrow" w:cs="Arial Narrow"/>
                <w:color w:val="000000" w:themeColor="text1"/>
              </w:rPr>
              <w:t>Equidad, Vigilancia</w:t>
            </w:r>
            <w:r>
              <w:br/>
            </w:r>
            <w:r w:rsidRPr="1AB6159B">
              <w:rPr>
                <w:rFonts w:ascii="Arial Narrow" w:hAnsi="Arial Narrow" w:eastAsia="Arial Narrow" w:cs="Arial Narrow"/>
                <w:color w:val="000000" w:themeColor="text1"/>
              </w:rPr>
              <w:t xml:space="preserve"> -</w:t>
            </w:r>
            <w:r>
              <w:tab/>
            </w:r>
            <w:r w:rsidRPr="1AB6159B">
              <w:rPr>
                <w:rFonts w:ascii="Arial Narrow" w:hAnsi="Arial Narrow" w:eastAsia="Arial Narrow" w:cs="Arial Narrow"/>
                <w:color w:val="000000" w:themeColor="text1"/>
              </w:rPr>
              <w:t>Hubo consenso en que los deberes del sistema de fiscalización son: evaluación, control social, sanción y supervisión.</w:t>
            </w:r>
          </w:p>
        </w:tc>
        <w:tc>
          <w:tcPr>
            <w:tcW w:w="2917"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B61180" w:rsidP="00631238" w:rsidRDefault="00B61180" w14:paraId="235C46BE" w14:textId="77777777">
            <w:pPr>
              <w:spacing w:after="0"/>
            </w:pPr>
            <w:r w:rsidRPr="1AB6159B">
              <w:rPr>
                <w:rFonts w:ascii="Arial Narrow" w:hAnsi="Arial Narrow" w:eastAsia="Arial Narrow" w:cs="Arial Narrow"/>
                <w:color w:val="000000" w:themeColor="text1"/>
              </w:rPr>
              <w:t xml:space="preserve">Se acogen los principios sugeridos y el sistema de fiscalización presentado durante el espacio, y las propuestas nuevas se integran a los principios ya propuestos para robustecerlos y que puedan reflejar las propuestas de la comunidad. </w:t>
            </w:r>
          </w:p>
        </w:tc>
        <w:tc>
          <w:tcPr>
            <w:tcW w:w="122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B61180" w:rsidP="00631238" w:rsidRDefault="00B61180" w14:paraId="2612BB65" w14:textId="77777777">
            <w:pPr>
              <w:spacing w:after="0"/>
              <w:jc w:val="center"/>
            </w:pPr>
            <w:r w:rsidRPr="1AB6159B">
              <w:rPr>
                <w:rFonts w:ascii="Arial Narrow" w:hAnsi="Arial Narrow" w:eastAsia="Arial Narrow" w:cs="Arial Narrow"/>
                <w:color w:val="000000" w:themeColor="text1"/>
              </w:rPr>
              <w:t xml:space="preserve">Se acoge </w:t>
            </w:r>
          </w:p>
        </w:tc>
      </w:tr>
      <w:tr w:rsidR="00B61180" w:rsidTr="00B61180" w14:paraId="5641A28D" w14:textId="77777777">
        <w:trPr>
          <w:trHeight w:val="4710"/>
        </w:trPr>
        <w:tc>
          <w:tcPr>
            <w:tcW w:w="1262" w:type="dxa"/>
            <w:vMerge/>
            <w:tcBorders>
              <w:left w:val="single" w:color="auto" w:sz="0" w:space="0"/>
              <w:bottom w:val="single" w:color="000000" w:themeColor="text1" w:sz="0" w:space="0"/>
              <w:right w:val="single" w:color="auto" w:sz="0" w:space="0"/>
            </w:tcBorders>
            <w:vAlign w:val="center"/>
          </w:tcPr>
          <w:p w:rsidR="00B61180" w:rsidP="00631238" w:rsidRDefault="00B61180" w14:paraId="56BFF160" w14:textId="77777777"/>
        </w:tc>
        <w:tc>
          <w:tcPr>
            <w:tcW w:w="3668" w:type="dxa"/>
            <w:vMerge/>
            <w:tcBorders>
              <w:left w:val="single" w:color="auto" w:sz="0" w:space="0"/>
              <w:bottom w:val="single" w:color="000000" w:themeColor="text1" w:sz="0" w:space="0"/>
              <w:right w:val="single" w:color="auto" w:sz="0" w:space="0"/>
            </w:tcBorders>
            <w:vAlign w:val="center"/>
          </w:tcPr>
          <w:p w:rsidR="00B61180" w:rsidP="00631238" w:rsidRDefault="00B61180" w14:paraId="1C9BC91E" w14:textId="77777777"/>
        </w:tc>
        <w:tc>
          <w:tcPr>
            <w:tcW w:w="2917" w:type="dxa"/>
            <w:tcBorders>
              <w:top w:val="single" w:color="auto" w:sz="4" w:space="0"/>
              <w:left w:val="nil"/>
              <w:bottom w:val="single" w:color="auto" w:sz="4" w:space="0"/>
              <w:right w:val="single" w:color="auto" w:sz="4" w:space="0"/>
            </w:tcBorders>
            <w:tcMar>
              <w:top w:w="15" w:type="dxa"/>
              <w:left w:w="15" w:type="dxa"/>
              <w:right w:w="15" w:type="dxa"/>
            </w:tcMar>
            <w:vAlign w:val="center"/>
          </w:tcPr>
          <w:p w:rsidR="00B61180" w:rsidP="00631238" w:rsidRDefault="00B61180" w14:paraId="1F7F4430" w14:textId="77777777">
            <w:pPr>
              <w:spacing w:after="0"/>
            </w:pPr>
            <w:r w:rsidRPr="1AB6159B">
              <w:rPr>
                <w:rFonts w:ascii="Arial Narrow" w:hAnsi="Arial Narrow" w:eastAsia="Arial Narrow" w:cs="Arial Narrow"/>
                <w:color w:val="000000" w:themeColor="text1"/>
              </w:rPr>
              <w:t xml:space="preserve">En relación con la inclusión y funciones de los gestores de páramos será regulada conforme a lo establecido en la Ley 1930 de 2018 y la resolución 814 de 2026. No obstante lo anterior, en la resolución en el parágrafo 4 del artículo 4 se establece que toda organización que busque inscribirse como gestor de páramo o tenga interés en ello debe ser de carácter local. Así mismo, en la resolución se esclarece en su artículo 8 en relación con sus compromisos la necesidad de participar de manera activa y reportar la información requerida para garantizar los procesos de gestión integral del páramo y la correcta aplicación del posterior plan de manejo que se formule para el mismo. </w:t>
            </w:r>
            <w:r>
              <w:br/>
            </w:r>
            <w:r>
              <w:br/>
            </w:r>
            <w:r w:rsidRPr="1AB6159B">
              <w:rPr>
                <w:rFonts w:ascii="Arial Narrow" w:hAnsi="Arial Narrow" w:eastAsia="Arial Narrow" w:cs="Arial Narrow"/>
                <w:color w:val="000000" w:themeColor="text1"/>
              </w:rPr>
              <w:t xml:space="preserve">Es de recordar que las veedurías ciudadanas son mecanismos de participación y control social creadas por los ciudadanos conforme a la Ley 850 de 2003, aunque el Ministerio de Ambiente y Desarrollo sostenible no puede crearlas o dirigirlas, no desconoce que el sistema de fiscalización podrá articular y facilitar el ejercicio de las veedurías ciudadanas que se constituyan conforme a la Ley 850 de 2003. </w:t>
            </w:r>
          </w:p>
        </w:tc>
        <w:tc>
          <w:tcPr>
            <w:tcW w:w="122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B61180" w:rsidP="00631238" w:rsidRDefault="00B61180" w14:paraId="7067B96E" w14:textId="77777777">
            <w:pPr>
              <w:spacing w:after="0"/>
              <w:jc w:val="center"/>
            </w:pPr>
            <w:r w:rsidRPr="1AB6159B">
              <w:rPr>
                <w:rFonts w:ascii="Arial Narrow" w:hAnsi="Arial Narrow" w:eastAsia="Arial Narrow" w:cs="Arial Narrow"/>
                <w:color w:val="000000" w:themeColor="text1"/>
              </w:rPr>
              <w:t>Se acoge</w:t>
            </w:r>
          </w:p>
        </w:tc>
      </w:tr>
      <w:tr w:rsidR="00B61180" w:rsidTr="00B61180" w14:paraId="64EEDA21" w14:textId="77777777">
        <w:trPr>
          <w:trHeight w:val="2819"/>
        </w:trPr>
        <w:tc>
          <w:tcPr>
            <w:tcW w:w="1262" w:type="dxa"/>
            <w:vMerge w:val="restart"/>
            <w:tcBorders>
              <w:top w:val="nil"/>
              <w:left w:val="single" w:color="auto" w:sz="4" w:space="0"/>
              <w:bottom w:val="single" w:color="000000" w:themeColor="text1" w:sz="4" w:space="0"/>
              <w:right w:val="single" w:color="auto" w:sz="4" w:space="0"/>
            </w:tcBorders>
            <w:shd w:val="clear" w:color="auto" w:fill="DAF2D0"/>
            <w:tcMar>
              <w:top w:w="15" w:type="dxa"/>
              <w:left w:w="15" w:type="dxa"/>
              <w:right w:w="15" w:type="dxa"/>
            </w:tcMar>
            <w:vAlign w:val="center"/>
          </w:tcPr>
          <w:p w:rsidR="00B61180" w:rsidP="00631238" w:rsidRDefault="00B61180" w14:paraId="2F05E326" w14:textId="77777777">
            <w:pPr>
              <w:spacing w:after="0"/>
              <w:jc w:val="center"/>
            </w:pPr>
            <w:r w:rsidRPr="1AB6159B">
              <w:rPr>
                <w:rFonts w:ascii="Arial Narrow" w:hAnsi="Arial Narrow" w:eastAsia="Arial Narrow" w:cs="Arial Narrow"/>
                <w:b/>
                <w:bCs/>
                <w:color w:val="000000" w:themeColor="text1"/>
              </w:rPr>
              <w:t>San Cayetano (NS)</w:t>
            </w:r>
          </w:p>
        </w:tc>
        <w:tc>
          <w:tcPr>
            <w:tcW w:w="3668" w:type="dxa"/>
            <w:vMerge w:val="restart"/>
            <w:tcBorders>
              <w:top w:val="nil"/>
              <w:left w:val="single" w:color="auto" w:sz="4" w:space="0"/>
              <w:bottom w:val="single" w:color="000000" w:themeColor="text1" w:sz="4" w:space="0"/>
              <w:right w:val="single" w:color="auto" w:sz="4" w:space="0"/>
            </w:tcBorders>
            <w:tcMar>
              <w:top w:w="15" w:type="dxa"/>
              <w:left w:w="15" w:type="dxa"/>
              <w:right w:w="15" w:type="dxa"/>
            </w:tcMar>
            <w:vAlign w:val="center"/>
          </w:tcPr>
          <w:p w:rsidR="00B61180" w:rsidP="00631238" w:rsidRDefault="00B61180" w14:paraId="0FE8002D" w14:textId="77777777">
            <w:pPr>
              <w:spacing w:after="0"/>
              <w:jc w:val="center"/>
            </w:pPr>
            <w:r w:rsidRPr="1AB6159B">
              <w:rPr>
                <w:rFonts w:ascii="Arial Narrow" w:hAnsi="Arial Narrow" w:eastAsia="Arial Narrow" w:cs="Arial Narrow"/>
                <w:color w:val="000000" w:themeColor="text1"/>
              </w:rPr>
              <w:t>El sistema de fiscalización compuesto por actores, deberes y mecanismos de conformidad con la propuesta del Minambiente que de acuerdo con la visión y sustento comunitario deberá estar integrado por los siguientes atributos:</w:t>
            </w:r>
            <w:r>
              <w:br/>
            </w:r>
            <w:r w:rsidRPr="1AB6159B">
              <w:rPr>
                <w:rFonts w:ascii="Arial Narrow" w:hAnsi="Arial Narrow" w:eastAsia="Arial Narrow" w:cs="Arial Narrow"/>
                <w:color w:val="000000" w:themeColor="text1"/>
              </w:rPr>
              <w:t xml:space="preserve"> -</w:t>
            </w:r>
            <w:r>
              <w:tab/>
            </w:r>
            <w:r w:rsidRPr="1AB6159B">
              <w:rPr>
                <w:rFonts w:ascii="Arial Narrow" w:hAnsi="Arial Narrow" w:eastAsia="Arial Narrow" w:cs="Arial Narrow"/>
                <w:color w:val="000000" w:themeColor="text1"/>
              </w:rPr>
              <w:t xml:space="preserve">Hubo consenso en que lo actores de fiscalización sean: El Ministerio de Ambiente y Desarrollo Sostenible, las Corporaciones Autónomas Regionales, las Personerías Municipales, los Alcaldes Municipales, la Fuerza Pública, las Veedurías Ciudadanas y los Gestores de Páramo. </w:t>
            </w:r>
            <w:r>
              <w:br/>
            </w:r>
            <w:r w:rsidRPr="1AB6159B">
              <w:rPr>
                <w:rFonts w:ascii="Arial Narrow" w:hAnsi="Arial Narrow" w:eastAsia="Arial Narrow" w:cs="Arial Narrow"/>
                <w:color w:val="000000" w:themeColor="text1"/>
              </w:rPr>
              <w:t>-</w:t>
            </w:r>
            <w:r>
              <w:tab/>
            </w:r>
            <w:r w:rsidRPr="1AB6159B">
              <w:rPr>
                <w:rFonts w:ascii="Arial Narrow" w:hAnsi="Arial Narrow" w:eastAsia="Arial Narrow" w:cs="Arial Narrow"/>
                <w:color w:val="000000" w:themeColor="text1"/>
              </w:rPr>
              <w:t>Se consideraron los siguientes principios: Transparencia, legalidad, celeridad, Eficacia, Eficiencia, Economía, Equidad, Valoración, Legalidad, Proporcionalidad, Autonomía, Independencia, Imparcialidad, responsabilidad, Precaución</w:t>
            </w:r>
            <w:r>
              <w:br/>
            </w:r>
            <w:r w:rsidRPr="1AB6159B">
              <w:rPr>
                <w:rFonts w:ascii="Arial Narrow" w:hAnsi="Arial Narrow" w:eastAsia="Arial Narrow" w:cs="Arial Narrow"/>
                <w:color w:val="000000" w:themeColor="text1"/>
              </w:rPr>
              <w:t xml:space="preserve"> -</w:t>
            </w:r>
            <w:r>
              <w:tab/>
            </w:r>
            <w:r w:rsidRPr="1AB6159B">
              <w:rPr>
                <w:rFonts w:ascii="Arial Narrow" w:hAnsi="Arial Narrow" w:eastAsia="Arial Narrow" w:cs="Arial Narrow"/>
                <w:color w:val="000000" w:themeColor="text1"/>
              </w:rPr>
              <w:t>Hubo consenso en que los deberes del sistema de fiscalización son: evaluación, control social, sanción y supervisión.</w:t>
            </w:r>
          </w:p>
        </w:tc>
        <w:tc>
          <w:tcPr>
            <w:tcW w:w="2917"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B61180" w:rsidP="00631238" w:rsidRDefault="00B61180" w14:paraId="525B69E1" w14:textId="77777777">
            <w:pPr>
              <w:spacing w:after="0"/>
            </w:pPr>
            <w:r w:rsidRPr="1AB6159B">
              <w:rPr>
                <w:rFonts w:ascii="Arial Narrow" w:hAnsi="Arial Narrow" w:eastAsia="Arial Narrow" w:cs="Arial Narrow"/>
                <w:color w:val="000000" w:themeColor="text1"/>
              </w:rPr>
              <w:t xml:space="preserve">Se acogen los principios sugeridos y el sistema de fiscalización presentado durante el espacio, y las propuestas nuevas se integran a los principios ya propuestos para robustecerlos y que puedan reflejar las propuestas de la comunidad. </w:t>
            </w:r>
          </w:p>
        </w:tc>
        <w:tc>
          <w:tcPr>
            <w:tcW w:w="122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B61180" w:rsidP="00631238" w:rsidRDefault="00B61180" w14:paraId="17F9CB09" w14:textId="77777777">
            <w:pPr>
              <w:spacing w:after="0"/>
              <w:jc w:val="center"/>
            </w:pPr>
            <w:r w:rsidRPr="1AB6159B">
              <w:rPr>
                <w:rFonts w:ascii="Arial Narrow" w:hAnsi="Arial Narrow" w:eastAsia="Arial Narrow" w:cs="Arial Narrow"/>
                <w:color w:val="000000" w:themeColor="text1"/>
              </w:rPr>
              <w:t xml:space="preserve">Se acoge </w:t>
            </w:r>
          </w:p>
        </w:tc>
      </w:tr>
      <w:tr w:rsidR="00B61180" w:rsidTr="00B61180" w14:paraId="739306DD" w14:textId="77777777">
        <w:trPr>
          <w:trHeight w:val="2819"/>
        </w:trPr>
        <w:tc>
          <w:tcPr>
            <w:tcW w:w="1262" w:type="dxa"/>
            <w:vMerge/>
            <w:tcBorders>
              <w:left w:val="single" w:color="auto" w:sz="0" w:space="0"/>
              <w:bottom w:val="single" w:color="000000" w:themeColor="text1" w:sz="0" w:space="0"/>
              <w:right w:val="single" w:color="auto" w:sz="0" w:space="0"/>
            </w:tcBorders>
            <w:vAlign w:val="center"/>
          </w:tcPr>
          <w:p w:rsidR="00B61180" w:rsidP="00631238" w:rsidRDefault="00B61180" w14:paraId="3A33173B" w14:textId="77777777"/>
        </w:tc>
        <w:tc>
          <w:tcPr>
            <w:tcW w:w="3668" w:type="dxa"/>
            <w:vMerge/>
            <w:tcBorders>
              <w:left w:val="single" w:color="auto" w:sz="0" w:space="0"/>
              <w:bottom w:val="single" w:color="000000" w:themeColor="text1" w:sz="0" w:space="0"/>
              <w:right w:val="single" w:color="auto" w:sz="0" w:space="0"/>
            </w:tcBorders>
            <w:vAlign w:val="center"/>
          </w:tcPr>
          <w:p w:rsidR="00B61180" w:rsidP="00631238" w:rsidRDefault="00B61180" w14:paraId="550EF3D8" w14:textId="77777777"/>
        </w:tc>
        <w:tc>
          <w:tcPr>
            <w:tcW w:w="2917" w:type="dxa"/>
            <w:tcBorders>
              <w:top w:val="single" w:color="auto" w:sz="4" w:space="0"/>
              <w:left w:val="nil"/>
              <w:bottom w:val="single" w:color="auto" w:sz="4" w:space="0"/>
              <w:right w:val="single" w:color="auto" w:sz="4" w:space="0"/>
            </w:tcBorders>
            <w:tcMar>
              <w:top w:w="15" w:type="dxa"/>
              <w:left w:w="15" w:type="dxa"/>
              <w:right w:w="15" w:type="dxa"/>
            </w:tcMar>
            <w:vAlign w:val="center"/>
          </w:tcPr>
          <w:p w:rsidR="00B61180" w:rsidP="00631238" w:rsidRDefault="00B61180" w14:paraId="39AD9543" w14:textId="77777777">
            <w:pPr>
              <w:spacing w:after="0"/>
            </w:pPr>
            <w:r w:rsidRPr="1AB6159B">
              <w:rPr>
                <w:rFonts w:ascii="Arial Narrow" w:hAnsi="Arial Narrow" w:eastAsia="Arial Narrow" w:cs="Arial Narrow"/>
                <w:color w:val="000000" w:themeColor="text1"/>
              </w:rPr>
              <w:t xml:space="preserve">En relación con la inclusión y funciones de los gestores de páramos será regulada conforme a lo establecido en la Ley 1930 de 2018 y la resolución 814 de 2026. No obstante lo anterior, en la resolución en el parágrafo 4 del artículo 4 se establece que toda organización que busque inscribirse como gestor de páramo o tenga interés en ello debe ser de carácter local. Así mismo, en la resolución se esclarece en su artículo 8 en relación con sus compromisos la necesidad de participar de manera activa y reportar la información requerida para garantizar los procesos de gestión integral del páramo y la correcta aplicación del posterior plan de manejo que se formule para el mismo. </w:t>
            </w:r>
            <w:r>
              <w:br/>
            </w:r>
            <w:r>
              <w:br/>
            </w:r>
            <w:r w:rsidRPr="1AB6159B">
              <w:rPr>
                <w:rFonts w:ascii="Arial Narrow" w:hAnsi="Arial Narrow" w:eastAsia="Arial Narrow" w:cs="Arial Narrow"/>
                <w:color w:val="000000" w:themeColor="text1"/>
              </w:rPr>
              <w:t xml:space="preserve">Es de recordar que las veedurías ciudadanas son mecanismos de participación y control social creadas por los ciudadanos conforme a la Ley 850 de 2003, aunque el Ministerio de Ambiente y Desarrollo sostenible no puede crearlas o dirigirlas, no desconoce que el sistema de fiscalización podrá articular y facilitar el ejercicio de las veedurías ciudadanas que </w:t>
            </w:r>
            <w:r w:rsidRPr="1AB6159B">
              <w:rPr>
                <w:rFonts w:ascii="Arial Narrow" w:hAnsi="Arial Narrow" w:eastAsia="Arial Narrow" w:cs="Arial Narrow"/>
                <w:color w:val="000000" w:themeColor="text1"/>
              </w:rPr>
              <w:t xml:space="preserve">se constituyan conforme a la Ley 850 de 2003. </w:t>
            </w:r>
          </w:p>
        </w:tc>
        <w:tc>
          <w:tcPr>
            <w:tcW w:w="122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B61180" w:rsidP="00631238" w:rsidRDefault="00B61180" w14:paraId="5344057A" w14:textId="77777777">
            <w:pPr>
              <w:spacing w:after="0"/>
              <w:jc w:val="center"/>
            </w:pPr>
            <w:r w:rsidRPr="1AB6159B">
              <w:rPr>
                <w:rFonts w:ascii="Arial Narrow" w:hAnsi="Arial Narrow" w:eastAsia="Arial Narrow" w:cs="Arial Narrow"/>
                <w:color w:val="000000" w:themeColor="text1"/>
              </w:rPr>
              <w:t xml:space="preserve">Se acoge </w:t>
            </w:r>
          </w:p>
        </w:tc>
      </w:tr>
      <w:tr w:rsidR="00B61180" w:rsidTr="00B61180" w14:paraId="5A323A8F" w14:textId="77777777">
        <w:trPr>
          <w:trHeight w:val="5700"/>
        </w:trPr>
        <w:tc>
          <w:tcPr>
            <w:tcW w:w="1262" w:type="dxa"/>
            <w:vMerge w:val="restart"/>
            <w:tcBorders>
              <w:top w:val="nil"/>
              <w:left w:val="single" w:color="auto" w:sz="4" w:space="0"/>
              <w:bottom w:val="single" w:color="000000" w:themeColor="text1" w:sz="4" w:space="0"/>
              <w:right w:val="single" w:color="auto" w:sz="4" w:space="0"/>
            </w:tcBorders>
            <w:shd w:val="clear" w:color="auto" w:fill="DAF2D0"/>
            <w:tcMar>
              <w:top w:w="15" w:type="dxa"/>
              <w:left w:w="15" w:type="dxa"/>
              <w:right w:w="15" w:type="dxa"/>
            </w:tcMar>
            <w:vAlign w:val="center"/>
          </w:tcPr>
          <w:p w:rsidR="00B61180" w:rsidP="00631238" w:rsidRDefault="00B61180" w14:paraId="6A7B3B8D" w14:textId="77777777">
            <w:pPr>
              <w:spacing w:after="0"/>
              <w:jc w:val="center"/>
            </w:pPr>
            <w:r w:rsidRPr="1AB6159B">
              <w:rPr>
                <w:rFonts w:ascii="Arial Narrow" w:hAnsi="Arial Narrow" w:eastAsia="Arial Narrow" w:cs="Arial Narrow"/>
                <w:b/>
                <w:bCs/>
                <w:color w:val="000000" w:themeColor="text1"/>
              </w:rPr>
              <w:t>El Zulia (NS)</w:t>
            </w:r>
          </w:p>
        </w:tc>
        <w:tc>
          <w:tcPr>
            <w:tcW w:w="3668" w:type="dxa"/>
            <w:vMerge w:val="restart"/>
            <w:tcBorders>
              <w:top w:val="nil"/>
              <w:left w:val="single" w:color="auto" w:sz="4" w:space="0"/>
              <w:bottom w:val="single" w:color="000000" w:themeColor="text1" w:sz="4" w:space="0"/>
              <w:right w:val="single" w:color="auto" w:sz="4" w:space="0"/>
            </w:tcBorders>
            <w:tcMar>
              <w:top w:w="15" w:type="dxa"/>
              <w:left w:w="15" w:type="dxa"/>
              <w:right w:w="15" w:type="dxa"/>
            </w:tcMar>
            <w:vAlign w:val="center"/>
          </w:tcPr>
          <w:p w:rsidR="00B61180" w:rsidP="00631238" w:rsidRDefault="00B61180" w14:paraId="14A88663" w14:textId="77777777">
            <w:pPr>
              <w:spacing w:after="0"/>
              <w:jc w:val="center"/>
            </w:pPr>
            <w:r w:rsidRPr="1AB6159B">
              <w:rPr>
                <w:rFonts w:ascii="Arial Narrow" w:hAnsi="Arial Narrow" w:eastAsia="Arial Narrow" w:cs="Arial Narrow"/>
                <w:color w:val="000000" w:themeColor="text1"/>
              </w:rPr>
              <w:t>El sistema de fiscalización compuesto por actores, deberes y mecanismos de conformidad con la propuesta del Minambiente que de acuerdo con la visión y sustento comunitario deberá estar integrado por los siguientes atributos:</w:t>
            </w:r>
            <w:r>
              <w:br/>
            </w:r>
            <w:r w:rsidRPr="1AB6159B">
              <w:rPr>
                <w:rFonts w:ascii="Arial Narrow" w:hAnsi="Arial Narrow" w:eastAsia="Arial Narrow" w:cs="Arial Narrow"/>
                <w:color w:val="000000" w:themeColor="text1"/>
              </w:rPr>
              <w:t xml:space="preserve"> -</w:t>
            </w:r>
            <w:r>
              <w:tab/>
            </w:r>
            <w:r w:rsidRPr="1AB6159B">
              <w:rPr>
                <w:rFonts w:ascii="Arial Narrow" w:hAnsi="Arial Narrow" w:eastAsia="Arial Narrow" w:cs="Arial Narrow"/>
                <w:color w:val="000000" w:themeColor="text1"/>
              </w:rPr>
              <w:t xml:space="preserve">Hubo consenso en que los actores de fiscalización sean: El Ministerio de Ambiente y Desarrollo Sostenible, las Corporaciones Autónomas Regionales, las Personerías Municipales, los alcaldes Municipales, la Fuerza Pública, las Veedurías Ciudadanas y los Gestores de Páramo. </w:t>
            </w:r>
            <w:r>
              <w:br/>
            </w:r>
            <w:r w:rsidRPr="1AB6159B">
              <w:rPr>
                <w:rFonts w:ascii="Arial Narrow" w:hAnsi="Arial Narrow" w:eastAsia="Arial Narrow" w:cs="Arial Narrow"/>
                <w:color w:val="000000" w:themeColor="text1"/>
              </w:rPr>
              <w:t>-</w:t>
            </w:r>
            <w:r>
              <w:tab/>
            </w:r>
            <w:r w:rsidRPr="1AB6159B">
              <w:rPr>
                <w:rFonts w:ascii="Arial Narrow" w:hAnsi="Arial Narrow" w:eastAsia="Arial Narrow" w:cs="Arial Narrow"/>
                <w:color w:val="000000" w:themeColor="text1"/>
              </w:rPr>
              <w:t>Se propusieron los siguientes principios: Eficacia, Eficiencia, Economía, Equidad, Valoración, Legalidad, Proporcionalidad, Autonomía, Independencia, Imparcialidad, responsabilidad, Precaución.</w:t>
            </w:r>
            <w:r>
              <w:br/>
            </w:r>
            <w:r w:rsidRPr="1AB6159B">
              <w:rPr>
                <w:rFonts w:ascii="Arial Narrow" w:hAnsi="Arial Narrow" w:eastAsia="Arial Narrow" w:cs="Arial Narrow"/>
                <w:color w:val="000000" w:themeColor="text1"/>
              </w:rPr>
              <w:t xml:space="preserve"> -</w:t>
            </w:r>
            <w:r>
              <w:tab/>
            </w:r>
            <w:r w:rsidRPr="1AB6159B">
              <w:rPr>
                <w:rFonts w:ascii="Arial Narrow" w:hAnsi="Arial Narrow" w:eastAsia="Arial Narrow" w:cs="Arial Narrow"/>
                <w:color w:val="000000" w:themeColor="text1"/>
              </w:rPr>
              <w:t>Hubo consenso en que los deberes del sistema de fiscalización son: evaluación, control social, sanción y supervisión.</w:t>
            </w:r>
          </w:p>
        </w:tc>
        <w:tc>
          <w:tcPr>
            <w:tcW w:w="2917"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B61180" w:rsidP="00631238" w:rsidRDefault="00B61180" w14:paraId="2038489A" w14:textId="77777777">
            <w:pPr>
              <w:spacing w:after="0"/>
            </w:pPr>
            <w:r w:rsidRPr="1AB6159B">
              <w:rPr>
                <w:rFonts w:ascii="Arial Narrow" w:hAnsi="Arial Narrow" w:eastAsia="Arial Narrow" w:cs="Arial Narrow"/>
                <w:color w:val="000000" w:themeColor="text1"/>
              </w:rPr>
              <w:t xml:space="preserve">Se acogen los principios sugeridos y el sistema de fiscalización presentado durante el espacio, y las propuestas nuevas se integran a los principios ya propuestos para robustecerlos y que puedan reflejar las propuestas de la comunidad. </w:t>
            </w:r>
          </w:p>
        </w:tc>
        <w:tc>
          <w:tcPr>
            <w:tcW w:w="122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B61180" w:rsidP="00631238" w:rsidRDefault="00B61180" w14:paraId="2A45FE1C" w14:textId="77777777">
            <w:pPr>
              <w:spacing w:after="0"/>
              <w:jc w:val="center"/>
            </w:pPr>
            <w:r w:rsidRPr="1AB6159B">
              <w:rPr>
                <w:rFonts w:ascii="Arial Narrow" w:hAnsi="Arial Narrow" w:eastAsia="Arial Narrow" w:cs="Arial Narrow"/>
                <w:color w:val="000000" w:themeColor="text1"/>
              </w:rPr>
              <w:t>Se acoge</w:t>
            </w:r>
          </w:p>
        </w:tc>
      </w:tr>
      <w:tr w:rsidR="00B61180" w:rsidTr="00B61180" w14:paraId="4E2E4811" w14:textId="77777777">
        <w:trPr>
          <w:trHeight w:val="4440"/>
        </w:trPr>
        <w:tc>
          <w:tcPr>
            <w:tcW w:w="1262" w:type="dxa"/>
            <w:vMerge/>
            <w:tcBorders>
              <w:left w:val="single" w:color="auto" w:sz="0" w:space="0"/>
              <w:bottom w:val="single" w:color="000000" w:themeColor="text1" w:sz="0" w:space="0"/>
              <w:right w:val="single" w:color="auto" w:sz="0" w:space="0"/>
            </w:tcBorders>
            <w:vAlign w:val="center"/>
          </w:tcPr>
          <w:p w:rsidR="00B61180" w:rsidP="00631238" w:rsidRDefault="00B61180" w14:paraId="53FD573D" w14:textId="77777777"/>
        </w:tc>
        <w:tc>
          <w:tcPr>
            <w:tcW w:w="3668" w:type="dxa"/>
            <w:vMerge/>
            <w:tcBorders>
              <w:left w:val="single" w:color="auto" w:sz="0" w:space="0"/>
              <w:bottom w:val="single" w:color="000000" w:themeColor="text1" w:sz="0" w:space="0"/>
              <w:right w:val="single" w:color="auto" w:sz="0" w:space="0"/>
            </w:tcBorders>
            <w:vAlign w:val="center"/>
          </w:tcPr>
          <w:p w:rsidR="00B61180" w:rsidP="00631238" w:rsidRDefault="00B61180" w14:paraId="3908B074" w14:textId="77777777"/>
        </w:tc>
        <w:tc>
          <w:tcPr>
            <w:tcW w:w="2917" w:type="dxa"/>
            <w:tcBorders>
              <w:top w:val="single" w:color="auto" w:sz="4" w:space="0"/>
              <w:left w:val="nil"/>
              <w:bottom w:val="single" w:color="auto" w:sz="4" w:space="0"/>
              <w:right w:val="single" w:color="auto" w:sz="4" w:space="0"/>
            </w:tcBorders>
            <w:tcMar>
              <w:top w:w="15" w:type="dxa"/>
              <w:left w:w="15" w:type="dxa"/>
              <w:right w:w="15" w:type="dxa"/>
            </w:tcMar>
            <w:vAlign w:val="center"/>
          </w:tcPr>
          <w:p w:rsidR="00B61180" w:rsidP="00631238" w:rsidRDefault="00B61180" w14:paraId="1D661E32" w14:textId="77777777">
            <w:pPr>
              <w:spacing w:after="0"/>
            </w:pPr>
            <w:r w:rsidRPr="1AB6159B">
              <w:rPr>
                <w:rFonts w:ascii="Arial Narrow" w:hAnsi="Arial Narrow" w:eastAsia="Arial Narrow" w:cs="Arial Narrow"/>
                <w:color w:val="000000" w:themeColor="text1"/>
              </w:rPr>
              <w:t xml:space="preserve">En relación con la inclusión y funciones de los gestores de páramos será regulada conforme a lo establecido en la Ley 1930 de 2018 y la resolución 814 de 2026. No obstante lo anterior, en la resolución en el parágrafo 4 del artículo 4 se establece que toda organización que busque inscribirse como gestor de páramo o tenga interés en ello debe ser de carácter local. Así mismo, en la resolución se esclarece en su artículo 8 en relación con sus compromisos la necesidad de participar de manera activa y reportar la información requerida para garantizar los procesos de gestión integral del páramo y la correcta aplicación del posterior plan de manejo que se formule para el mismo. </w:t>
            </w:r>
            <w:r>
              <w:br/>
            </w:r>
            <w:r>
              <w:br/>
            </w:r>
            <w:r w:rsidRPr="1AB6159B">
              <w:rPr>
                <w:rFonts w:ascii="Arial Narrow" w:hAnsi="Arial Narrow" w:eastAsia="Arial Narrow" w:cs="Arial Narrow"/>
                <w:color w:val="000000" w:themeColor="text1"/>
              </w:rPr>
              <w:t xml:space="preserve">Es de recordar que las veedurías ciudadanas son mecanismos de participación y control social creadas por los ciudadanos conforme a la Ley 850 de 2003, aunque el Ministerio de Ambiente y Desarrollo sostenible no puede crearlas o dirigirlas, no desconoce que el sistema de fiscalización podrá articular y facilitar el ejercicio de las veedurías ciudadanas que se constituyan conforme a la Ley 850 de 2003. </w:t>
            </w:r>
          </w:p>
        </w:tc>
        <w:tc>
          <w:tcPr>
            <w:tcW w:w="122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B61180" w:rsidP="00631238" w:rsidRDefault="00B61180" w14:paraId="71A125A6" w14:textId="77777777">
            <w:pPr>
              <w:spacing w:after="0"/>
              <w:jc w:val="center"/>
            </w:pPr>
            <w:r w:rsidRPr="1AB6159B">
              <w:rPr>
                <w:rFonts w:ascii="Arial Narrow" w:hAnsi="Arial Narrow" w:eastAsia="Arial Narrow" w:cs="Arial Narrow"/>
                <w:color w:val="000000" w:themeColor="text1"/>
              </w:rPr>
              <w:t xml:space="preserve">Se acoge </w:t>
            </w:r>
          </w:p>
        </w:tc>
      </w:tr>
      <w:tr w:rsidR="00B61180" w:rsidTr="00B61180" w14:paraId="0EC3AB63" w14:textId="77777777">
        <w:trPr>
          <w:trHeight w:val="2252"/>
        </w:trPr>
        <w:tc>
          <w:tcPr>
            <w:tcW w:w="1262" w:type="dxa"/>
            <w:vMerge w:val="restart"/>
            <w:tcBorders>
              <w:top w:val="nil"/>
              <w:left w:val="single" w:color="auto" w:sz="4" w:space="0"/>
              <w:bottom w:val="single" w:color="000000" w:themeColor="text1" w:sz="4" w:space="0"/>
              <w:right w:val="single" w:color="auto" w:sz="4" w:space="0"/>
            </w:tcBorders>
            <w:shd w:val="clear" w:color="auto" w:fill="DAF2D0"/>
            <w:tcMar>
              <w:top w:w="15" w:type="dxa"/>
              <w:left w:w="15" w:type="dxa"/>
              <w:right w:w="15" w:type="dxa"/>
            </w:tcMar>
            <w:vAlign w:val="center"/>
          </w:tcPr>
          <w:p w:rsidR="00B61180" w:rsidP="00631238" w:rsidRDefault="00B61180" w14:paraId="608F8A44" w14:textId="77777777">
            <w:pPr>
              <w:spacing w:after="0"/>
              <w:jc w:val="center"/>
            </w:pPr>
            <w:r w:rsidRPr="1AB6159B">
              <w:rPr>
                <w:rFonts w:ascii="Arial Narrow" w:hAnsi="Arial Narrow" w:eastAsia="Arial Narrow" w:cs="Arial Narrow"/>
                <w:b/>
                <w:bCs/>
                <w:color w:val="000000" w:themeColor="text1"/>
              </w:rPr>
              <w:t>Toledo (NS)</w:t>
            </w:r>
          </w:p>
        </w:tc>
        <w:tc>
          <w:tcPr>
            <w:tcW w:w="3668" w:type="dxa"/>
            <w:vMerge w:val="restart"/>
            <w:tcBorders>
              <w:top w:val="nil"/>
              <w:left w:val="single" w:color="auto" w:sz="4" w:space="0"/>
              <w:bottom w:val="single" w:color="000000" w:themeColor="text1" w:sz="4" w:space="0"/>
              <w:right w:val="single" w:color="auto" w:sz="4" w:space="0"/>
            </w:tcBorders>
            <w:tcMar>
              <w:top w:w="15" w:type="dxa"/>
              <w:left w:w="15" w:type="dxa"/>
              <w:right w:w="15" w:type="dxa"/>
            </w:tcMar>
            <w:vAlign w:val="center"/>
          </w:tcPr>
          <w:p w:rsidR="00B61180" w:rsidP="00631238" w:rsidRDefault="00B61180" w14:paraId="7DB84796" w14:textId="77777777">
            <w:pPr>
              <w:spacing w:after="0"/>
              <w:jc w:val="center"/>
            </w:pPr>
            <w:r w:rsidRPr="1AB6159B">
              <w:rPr>
                <w:rFonts w:ascii="Arial Narrow" w:hAnsi="Arial Narrow" w:eastAsia="Arial Narrow" w:cs="Arial Narrow"/>
                <w:color w:val="000000" w:themeColor="text1"/>
              </w:rPr>
              <w:t>Mediante la mesa de trabajo y deliberación del tema de diálogo No. 3, se acordó que:</w:t>
            </w:r>
            <w:r>
              <w:br/>
            </w:r>
            <w:r w:rsidRPr="1AB6159B">
              <w:rPr>
                <w:rFonts w:ascii="Arial Narrow" w:hAnsi="Arial Narrow" w:eastAsia="Arial Narrow" w:cs="Arial Narrow"/>
                <w:color w:val="000000" w:themeColor="text1"/>
              </w:rPr>
              <w:t xml:space="preserve"> El sistema de fiscalización compuesto por actores, deberes y mecanismos de conformidad con la propuesta del Minambiente que de acuerdo con la visión y sustento comunitario deberá estar integrado por los siguientes atributos:</w:t>
            </w:r>
            <w:r>
              <w:br/>
            </w:r>
            <w:r w:rsidRPr="1AB6159B">
              <w:rPr>
                <w:rFonts w:ascii="Arial Narrow" w:hAnsi="Arial Narrow" w:eastAsia="Arial Narrow" w:cs="Arial Narrow"/>
                <w:color w:val="000000" w:themeColor="text1"/>
              </w:rPr>
              <w:t xml:space="preserve"> 1. Hubo consenso en que los principios del sistema fueran: transparencia, integridad y coherencia.</w:t>
            </w:r>
            <w:r>
              <w:br/>
            </w:r>
            <w:r w:rsidRPr="1AB6159B">
              <w:rPr>
                <w:rFonts w:ascii="Arial Narrow" w:hAnsi="Arial Narrow" w:eastAsia="Arial Narrow" w:cs="Arial Narrow"/>
                <w:color w:val="000000" w:themeColor="text1"/>
              </w:rPr>
              <w:t xml:space="preserve"> 2.</w:t>
            </w:r>
            <w:r>
              <w:tab/>
            </w:r>
            <w:r w:rsidRPr="1AB6159B">
              <w:rPr>
                <w:rFonts w:ascii="Arial Narrow" w:hAnsi="Arial Narrow" w:eastAsia="Arial Narrow" w:cs="Arial Narrow"/>
                <w:color w:val="000000" w:themeColor="text1"/>
              </w:rPr>
              <w:t>Hubo consenso en que lo actores de fiscalización sean: El Ministerio de Ambiente y Desarrollo Sostenible, las Corporaciones Autónomas Regionales, las Personerías Municipales, los alcaldes Municipales, la Policía, las veedurías ciudadanas y los Gestores de Páramo.</w:t>
            </w:r>
            <w:r>
              <w:br/>
            </w:r>
            <w:r w:rsidRPr="1AB6159B">
              <w:rPr>
                <w:rFonts w:ascii="Arial Narrow" w:hAnsi="Arial Narrow" w:eastAsia="Arial Narrow" w:cs="Arial Narrow"/>
                <w:color w:val="000000" w:themeColor="text1"/>
              </w:rPr>
              <w:t xml:space="preserve"> 3. Hubo consenso en que los deberes del sistema de fiscalización son: evaluación, control social, sanción y supervisión.</w:t>
            </w:r>
          </w:p>
        </w:tc>
        <w:tc>
          <w:tcPr>
            <w:tcW w:w="2917"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B61180" w:rsidP="00631238" w:rsidRDefault="00B61180" w14:paraId="219F537C" w14:textId="77777777">
            <w:pPr>
              <w:spacing w:after="0"/>
            </w:pPr>
            <w:r w:rsidRPr="1AB6159B">
              <w:rPr>
                <w:rFonts w:ascii="Arial Narrow" w:hAnsi="Arial Narrow" w:eastAsia="Arial Narrow" w:cs="Arial Narrow"/>
                <w:color w:val="000000" w:themeColor="text1"/>
              </w:rPr>
              <w:t xml:space="preserve">Se acogen los principios sugeridos y el sistema de fiscalización presentado durante el espacio, y las propuestas nuevas se integran a los principios ya propuestos para robustecerlos y que puedan reflejar las propuestas de la comunidad. </w:t>
            </w:r>
          </w:p>
        </w:tc>
        <w:tc>
          <w:tcPr>
            <w:tcW w:w="122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B61180" w:rsidP="00631238" w:rsidRDefault="00B61180" w14:paraId="7852779D" w14:textId="77777777">
            <w:pPr>
              <w:spacing w:after="0"/>
              <w:jc w:val="center"/>
            </w:pPr>
            <w:r w:rsidRPr="1AB6159B">
              <w:rPr>
                <w:rFonts w:ascii="Arial Narrow" w:hAnsi="Arial Narrow" w:eastAsia="Arial Narrow" w:cs="Arial Narrow"/>
                <w:color w:val="000000" w:themeColor="text1"/>
              </w:rPr>
              <w:t xml:space="preserve">Se acoge </w:t>
            </w:r>
          </w:p>
        </w:tc>
      </w:tr>
      <w:tr w:rsidR="00B61180" w:rsidTr="00B61180" w14:paraId="1D8726E9" w14:textId="77777777">
        <w:trPr>
          <w:trHeight w:val="4095"/>
        </w:trPr>
        <w:tc>
          <w:tcPr>
            <w:tcW w:w="1262" w:type="dxa"/>
            <w:vMerge/>
            <w:tcBorders>
              <w:left w:val="single" w:color="auto" w:sz="0" w:space="0"/>
              <w:bottom w:val="single" w:color="000000" w:themeColor="text1" w:sz="0" w:space="0"/>
              <w:right w:val="single" w:color="auto" w:sz="0" w:space="0"/>
            </w:tcBorders>
            <w:vAlign w:val="center"/>
          </w:tcPr>
          <w:p w:rsidR="00B61180" w:rsidP="00631238" w:rsidRDefault="00B61180" w14:paraId="0392B76E" w14:textId="77777777"/>
        </w:tc>
        <w:tc>
          <w:tcPr>
            <w:tcW w:w="3668" w:type="dxa"/>
            <w:vMerge/>
            <w:tcBorders>
              <w:left w:val="single" w:color="auto" w:sz="0" w:space="0"/>
              <w:bottom w:val="single" w:color="000000" w:themeColor="text1" w:sz="0" w:space="0"/>
              <w:right w:val="single" w:color="auto" w:sz="0" w:space="0"/>
            </w:tcBorders>
            <w:vAlign w:val="center"/>
          </w:tcPr>
          <w:p w:rsidR="00B61180" w:rsidP="00631238" w:rsidRDefault="00B61180" w14:paraId="2E93AEDC" w14:textId="77777777"/>
        </w:tc>
        <w:tc>
          <w:tcPr>
            <w:tcW w:w="2917" w:type="dxa"/>
            <w:tcBorders>
              <w:top w:val="single" w:color="auto" w:sz="4" w:space="0"/>
              <w:left w:val="nil"/>
              <w:bottom w:val="single" w:color="auto" w:sz="4" w:space="0"/>
              <w:right w:val="single" w:color="auto" w:sz="4" w:space="0"/>
            </w:tcBorders>
            <w:tcMar>
              <w:top w:w="15" w:type="dxa"/>
              <w:left w:w="15" w:type="dxa"/>
              <w:right w:w="15" w:type="dxa"/>
            </w:tcMar>
            <w:vAlign w:val="center"/>
          </w:tcPr>
          <w:p w:rsidR="00B61180" w:rsidP="00631238" w:rsidRDefault="00B61180" w14:paraId="72A7F4BA" w14:textId="77777777">
            <w:pPr>
              <w:spacing w:after="0"/>
            </w:pPr>
            <w:r w:rsidRPr="1AB6159B">
              <w:rPr>
                <w:rFonts w:ascii="Arial Narrow" w:hAnsi="Arial Narrow" w:eastAsia="Arial Narrow" w:cs="Arial Narrow"/>
                <w:color w:val="000000" w:themeColor="text1"/>
              </w:rPr>
              <w:t xml:space="preserve">En relación con la inclusión y funciones de los gestores de páramos será regulada conforme a lo establecido en la Ley 1930 de 2018 y la resolución 814 de 2026. No obstante lo anterior, en la resolución en el parágrafo 4 del artículo 4 se establece que toda organización que busque inscribirse como gestor de páramo o tenga interés en ello debe ser de carácter local. Así mismo, en la resolución se esclarece en su artículo 8 en relación con sus compromisos la necesidad de participar de manera activa y reportar la información requerida para garantizar los procesos de gestión integral del páramo y la correcta aplicación del posterior plan de manejo que se formule para el mismo. </w:t>
            </w:r>
            <w:r>
              <w:br/>
            </w:r>
          </w:p>
          <w:p w:rsidR="00B61180" w:rsidP="00631238" w:rsidRDefault="00B61180" w14:paraId="3064765D" w14:textId="77777777">
            <w:pPr>
              <w:spacing w:after="0"/>
            </w:pPr>
            <w:r>
              <w:br/>
            </w:r>
            <w:r w:rsidRPr="1AB6159B">
              <w:rPr>
                <w:rFonts w:ascii="Arial Narrow" w:hAnsi="Arial Narrow" w:eastAsia="Arial Narrow" w:cs="Arial Narrow"/>
                <w:color w:val="000000" w:themeColor="text1"/>
              </w:rPr>
              <w:t xml:space="preserve">Es de recordar que las veedurías ciudadanas son mecanismos de participación y control social creadas por los ciudadanos conforme a la Ley 850 de 2003, aunque el Ministerio de Ambiente y Desarrollo sostenible no puede crearlas o dirigirlas, no desconoce que el sistema de fiscalización podrá articular y facilitar el ejercicio de las veedurías ciudadanas que se constituyan conforme a la Ley 850 de 2003. </w:t>
            </w:r>
          </w:p>
        </w:tc>
        <w:tc>
          <w:tcPr>
            <w:tcW w:w="122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B61180" w:rsidP="00631238" w:rsidRDefault="00B61180" w14:paraId="191D8BC1" w14:textId="77777777">
            <w:pPr>
              <w:spacing w:after="0"/>
              <w:jc w:val="center"/>
            </w:pPr>
            <w:r w:rsidRPr="1AB6159B">
              <w:rPr>
                <w:rFonts w:ascii="Arial Narrow" w:hAnsi="Arial Narrow" w:eastAsia="Arial Narrow" w:cs="Arial Narrow"/>
                <w:color w:val="000000" w:themeColor="text1"/>
              </w:rPr>
              <w:t>Se acoge</w:t>
            </w:r>
          </w:p>
        </w:tc>
      </w:tr>
      <w:tr w:rsidR="00B61180" w:rsidTr="00B61180" w14:paraId="73E32D69" w14:textId="77777777">
        <w:trPr>
          <w:trHeight w:val="1834"/>
        </w:trPr>
        <w:tc>
          <w:tcPr>
            <w:tcW w:w="1262" w:type="dxa"/>
            <w:vMerge w:val="restart"/>
            <w:tcBorders>
              <w:top w:val="nil"/>
              <w:left w:val="single" w:color="auto" w:sz="4" w:space="0"/>
              <w:bottom w:val="single" w:color="000000" w:themeColor="text1" w:sz="4" w:space="0"/>
              <w:right w:val="single" w:color="auto" w:sz="4" w:space="0"/>
            </w:tcBorders>
            <w:shd w:val="clear" w:color="auto" w:fill="DAF2D0"/>
            <w:tcMar>
              <w:top w:w="15" w:type="dxa"/>
              <w:left w:w="15" w:type="dxa"/>
              <w:right w:w="15" w:type="dxa"/>
            </w:tcMar>
            <w:vAlign w:val="center"/>
          </w:tcPr>
          <w:p w:rsidR="00B61180" w:rsidP="00631238" w:rsidRDefault="00B61180" w14:paraId="64EC6A2C" w14:textId="77777777">
            <w:pPr>
              <w:spacing w:after="0"/>
              <w:jc w:val="center"/>
            </w:pPr>
            <w:r w:rsidRPr="1AB6159B">
              <w:rPr>
                <w:rFonts w:ascii="Arial Narrow" w:hAnsi="Arial Narrow" w:eastAsia="Arial Narrow" w:cs="Arial Narrow"/>
                <w:b/>
                <w:bCs/>
                <w:color w:val="000000" w:themeColor="text1"/>
              </w:rPr>
              <w:t>Villa del Rosario (NS)</w:t>
            </w:r>
          </w:p>
        </w:tc>
        <w:tc>
          <w:tcPr>
            <w:tcW w:w="3668" w:type="dxa"/>
            <w:vMerge w:val="restart"/>
            <w:tcBorders>
              <w:top w:val="nil"/>
              <w:left w:val="single" w:color="auto" w:sz="4" w:space="0"/>
              <w:bottom w:val="single" w:color="000000" w:themeColor="text1" w:sz="4" w:space="0"/>
              <w:right w:val="single" w:color="auto" w:sz="4" w:space="0"/>
            </w:tcBorders>
            <w:tcMar>
              <w:top w:w="15" w:type="dxa"/>
              <w:left w:w="15" w:type="dxa"/>
              <w:right w:w="15" w:type="dxa"/>
            </w:tcMar>
            <w:vAlign w:val="center"/>
          </w:tcPr>
          <w:p w:rsidR="00B61180" w:rsidP="00631238" w:rsidRDefault="00B61180" w14:paraId="5CB1F64B" w14:textId="77777777">
            <w:pPr>
              <w:spacing w:after="0"/>
              <w:jc w:val="center"/>
            </w:pPr>
            <w:r w:rsidRPr="1AB6159B">
              <w:rPr>
                <w:rFonts w:ascii="Arial Narrow" w:hAnsi="Arial Narrow" w:eastAsia="Arial Narrow" w:cs="Arial Narrow"/>
                <w:color w:val="000000" w:themeColor="text1"/>
              </w:rPr>
              <w:t xml:space="preserve">Mediante la mesa de trabajo y deliberación del tema de diálogo No. 3, se acordó que: </w:t>
            </w:r>
            <w:r>
              <w:br/>
            </w:r>
            <w:r w:rsidRPr="1AB6159B">
              <w:rPr>
                <w:rFonts w:ascii="Arial Narrow" w:hAnsi="Arial Narrow" w:eastAsia="Arial Narrow" w:cs="Arial Narrow"/>
                <w:color w:val="000000" w:themeColor="text1"/>
              </w:rPr>
              <w:t xml:space="preserve">El sistema de fiscalización compuesto por actores, deberes y mecanismos de conformidad con la propuesta del Minambiente que de acuerdo con la visión y sustento comunitario deberá estar integrado </w:t>
            </w:r>
            <w:r w:rsidRPr="1AB6159B">
              <w:rPr>
                <w:rFonts w:ascii="Arial Narrow" w:hAnsi="Arial Narrow" w:eastAsia="Arial Narrow" w:cs="Arial Narrow"/>
                <w:color w:val="000000" w:themeColor="text1"/>
              </w:rPr>
              <w:t>por los siguientes atributos:</w:t>
            </w:r>
            <w:r>
              <w:br/>
            </w:r>
            <w:r w:rsidRPr="1AB6159B">
              <w:rPr>
                <w:rFonts w:ascii="Arial Narrow" w:hAnsi="Arial Narrow" w:eastAsia="Arial Narrow" w:cs="Arial Narrow"/>
                <w:color w:val="000000" w:themeColor="text1"/>
              </w:rPr>
              <w:t xml:space="preserve"> -</w:t>
            </w:r>
            <w:r>
              <w:tab/>
            </w:r>
            <w:r w:rsidRPr="1AB6159B">
              <w:rPr>
                <w:rFonts w:ascii="Arial Narrow" w:hAnsi="Arial Narrow" w:eastAsia="Arial Narrow" w:cs="Arial Narrow"/>
                <w:color w:val="000000" w:themeColor="text1"/>
              </w:rPr>
              <w:t xml:space="preserve">Hubo consenso en que los actores de fiscalización sean: El Ministerio de Ambiente y Desarrollo Sostenible, las Corporaciones Autónomas Regionales, las Personerías Municipales, los alcaldes Municipales, la Fuerza Pública, las Veedurías Ciudadanas y los Gestores de Páramo. </w:t>
            </w:r>
            <w:r>
              <w:br/>
            </w:r>
            <w:r w:rsidRPr="1AB6159B">
              <w:rPr>
                <w:rFonts w:ascii="Arial Narrow" w:hAnsi="Arial Narrow" w:eastAsia="Arial Narrow" w:cs="Arial Narrow"/>
                <w:color w:val="000000" w:themeColor="text1"/>
              </w:rPr>
              <w:t>-</w:t>
            </w:r>
            <w:r>
              <w:tab/>
            </w:r>
            <w:r w:rsidRPr="1AB6159B">
              <w:rPr>
                <w:rFonts w:ascii="Arial Narrow" w:hAnsi="Arial Narrow" w:eastAsia="Arial Narrow" w:cs="Arial Narrow"/>
                <w:color w:val="000000" w:themeColor="text1"/>
              </w:rPr>
              <w:t>Hubo consenso en que los deberes del sistema de fiscalización son: evaluación, control social, sanción y supervisión.</w:t>
            </w:r>
          </w:p>
        </w:tc>
        <w:tc>
          <w:tcPr>
            <w:tcW w:w="2917"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B61180" w:rsidP="00631238" w:rsidRDefault="00B61180" w14:paraId="3242930F" w14:textId="77777777">
            <w:pPr>
              <w:spacing w:after="0"/>
            </w:pPr>
            <w:r w:rsidRPr="1AB6159B">
              <w:rPr>
                <w:rFonts w:ascii="Arial Narrow" w:hAnsi="Arial Narrow" w:eastAsia="Arial Narrow" w:cs="Arial Narrow"/>
                <w:color w:val="000000" w:themeColor="text1"/>
              </w:rPr>
              <w:t xml:space="preserve">Se acogen los principios sugeridos y el sistema de fiscalización presentado durante el espacio, y las propuestas nuevas se integran a los principios ya propuestos para robustecerlos y que puedan reflejar las propuestas de la comunidad. </w:t>
            </w:r>
          </w:p>
        </w:tc>
        <w:tc>
          <w:tcPr>
            <w:tcW w:w="122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B61180" w:rsidP="00631238" w:rsidRDefault="00B61180" w14:paraId="3F106AEF" w14:textId="77777777">
            <w:pPr>
              <w:spacing w:after="0"/>
              <w:jc w:val="center"/>
            </w:pPr>
            <w:r w:rsidRPr="1AB6159B">
              <w:rPr>
                <w:rFonts w:ascii="Arial Narrow" w:hAnsi="Arial Narrow" w:eastAsia="Arial Narrow" w:cs="Arial Narrow"/>
                <w:color w:val="000000" w:themeColor="text1"/>
              </w:rPr>
              <w:t>Se acoge</w:t>
            </w:r>
          </w:p>
        </w:tc>
      </w:tr>
      <w:tr w:rsidR="00B61180" w:rsidTr="00B61180" w14:paraId="434D0D4A" w14:textId="77777777">
        <w:trPr>
          <w:trHeight w:val="4020"/>
        </w:trPr>
        <w:tc>
          <w:tcPr>
            <w:tcW w:w="1262" w:type="dxa"/>
            <w:vMerge/>
            <w:tcBorders>
              <w:left w:val="single" w:color="auto" w:sz="0" w:space="0"/>
              <w:bottom w:val="single" w:color="000000" w:themeColor="text1" w:sz="0" w:space="0"/>
              <w:right w:val="single" w:color="auto" w:sz="0" w:space="0"/>
            </w:tcBorders>
            <w:vAlign w:val="center"/>
          </w:tcPr>
          <w:p w:rsidR="00B61180" w:rsidP="00631238" w:rsidRDefault="00B61180" w14:paraId="6D520622" w14:textId="77777777"/>
        </w:tc>
        <w:tc>
          <w:tcPr>
            <w:tcW w:w="3668" w:type="dxa"/>
            <w:vMerge/>
            <w:tcBorders>
              <w:left w:val="single" w:color="auto" w:sz="0" w:space="0"/>
              <w:bottom w:val="single" w:color="000000" w:themeColor="text1" w:sz="0" w:space="0"/>
              <w:right w:val="single" w:color="auto" w:sz="0" w:space="0"/>
            </w:tcBorders>
            <w:vAlign w:val="center"/>
          </w:tcPr>
          <w:p w:rsidR="00B61180" w:rsidP="00631238" w:rsidRDefault="00B61180" w14:paraId="7EC24341" w14:textId="77777777"/>
        </w:tc>
        <w:tc>
          <w:tcPr>
            <w:tcW w:w="2917" w:type="dxa"/>
            <w:tcBorders>
              <w:top w:val="single" w:color="auto" w:sz="4" w:space="0"/>
              <w:left w:val="nil"/>
              <w:bottom w:val="single" w:color="auto" w:sz="4" w:space="0"/>
              <w:right w:val="single" w:color="auto" w:sz="4" w:space="0"/>
            </w:tcBorders>
            <w:tcMar>
              <w:top w:w="15" w:type="dxa"/>
              <w:left w:w="15" w:type="dxa"/>
              <w:right w:w="15" w:type="dxa"/>
            </w:tcMar>
            <w:vAlign w:val="center"/>
          </w:tcPr>
          <w:p w:rsidR="00B61180" w:rsidP="00631238" w:rsidRDefault="00B61180" w14:paraId="7D9B0D05" w14:textId="77777777">
            <w:pPr>
              <w:spacing w:after="0"/>
            </w:pPr>
            <w:r w:rsidRPr="1AB6159B">
              <w:rPr>
                <w:rFonts w:ascii="Arial Narrow" w:hAnsi="Arial Narrow" w:eastAsia="Arial Narrow" w:cs="Arial Narrow"/>
              </w:rPr>
              <w:t xml:space="preserve">En relación con la inclusión y funciones de los gestores de páramos será regulada conforme a lo establecido en la Ley 1930 de 2018 y la resolución 814 de 2026. No obstante lo anterior, en la resolución en el parágrafo 4 del artículo 4 se establece que toda organización que busque inscribirse como gestor de páramo o tenga interés en ello debe ser de carácter local. Así mismo, en la resolución se esclarece en su artículo 8 en relación con sus compromisos la necesidad de participar de manera activa y reportar la información requerida para garantizar los procesos de gestión integral del páramo y la correcta aplicación del posterior plan de manejo que se formule para el mismo. </w:t>
            </w:r>
            <w:r>
              <w:br/>
            </w:r>
            <w:r>
              <w:br/>
            </w:r>
            <w:r w:rsidRPr="1AB6159B">
              <w:rPr>
                <w:rFonts w:ascii="Arial Narrow" w:hAnsi="Arial Narrow" w:eastAsia="Arial Narrow" w:cs="Arial Narrow"/>
              </w:rPr>
              <w:t xml:space="preserve">Es de recordar que las veedurías ciudadanas son mecanismos de participación y control social creadas por los ciudadanos conforme a la Ley 850 de 2003, aunque el Ministerio de Ambiente y Desarrollo sostenible no puede crearlas o dirigirlas, no desconoce que el sistema de fiscalización podrá articular y facilitar el ejercicio de las veedurías ciudadanas que se constituyan conforme a la Ley 850 de 2003. </w:t>
            </w:r>
          </w:p>
        </w:tc>
        <w:tc>
          <w:tcPr>
            <w:tcW w:w="122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B61180" w:rsidP="00631238" w:rsidRDefault="00B61180" w14:paraId="404F751F" w14:textId="77777777">
            <w:pPr>
              <w:spacing w:after="0"/>
              <w:jc w:val="center"/>
            </w:pPr>
            <w:r w:rsidRPr="1AB6159B">
              <w:rPr>
                <w:rFonts w:ascii="Arial Narrow" w:hAnsi="Arial Narrow" w:eastAsia="Arial Narrow" w:cs="Arial Narrow"/>
              </w:rPr>
              <w:t>Se acoge</w:t>
            </w:r>
          </w:p>
        </w:tc>
      </w:tr>
      <w:tr w:rsidR="00B61180" w:rsidTr="00B61180" w14:paraId="17FB6E5F" w14:textId="77777777">
        <w:trPr>
          <w:trHeight w:val="1834"/>
        </w:trPr>
        <w:tc>
          <w:tcPr>
            <w:tcW w:w="1262" w:type="dxa"/>
            <w:vMerge w:val="restart"/>
            <w:tcBorders>
              <w:top w:val="nil"/>
              <w:left w:val="single" w:color="auto" w:sz="4" w:space="0"/>
              <w:bottom w:val="single" w:color="000000" w:themeColor="text1" w:sz="4" w:space="0"/>
              <w:right w:val="single" w:color="auto" w:sz="4" w:space="0"/>
            </w:tcBorders>
            <w:shd w:val="clear" w:color="auto" w:fill="DAF2D0"/>
            <w:tcMar>
              <w:top w:w="15" w:type="dxa"/>
              <w:left w:w="15" w:type="dxa"/>
              <w:right w:w="15" w:type="dxa"/>
            </w:tcMar>
            <w:vAlign w:val="center"/>
          </w:tcPr>
          <w:p w:rsidR="00B61180" w:rsidP="00631238" w:rsidRDefault="00B61180" w14:paraId="7E03A05A" w14:textId="77777777">
            <w:pPr>
              <w:spacing w:after="0"/>
              <w:jc w:val="center"/>
            </w:pPr>
            <w:r w:rsidRPr="1AB6159B">
              <w:rPr>
                <w:rFonts w:ascii="Arial Narrow" w:hAnsi="Arial Narrow" w:eastAsia="Arial Narrow" w:cs="Arial Narrow"/>
                <w:b/>
                <w:bCs/>
                <w:color w:val="000000" w:themeColor="text1"/>
              </w:rPr>
              <w:t>San José de Cúcuta (NS)</w:t>
            </w:r>
          </w:p>
        </w:tc>
        <w:tc>
          <w:tcPr>
            <w:tcW w:w="3668" w:type="dxa"/>
            <w:vMerge w:val="restart"/>
            <w:tcBorders>
              <w:top w:val="nil"/>
              <w:left w:val="single" w:color="auto" w:sz="4" w:space="0"/>
              <w:bottom w:val="single" w:color="000000" w:themeColor="text1" w:sz="4" w:space="0"/>
              <w:right w:val="single" w:color="auto" w:sz="4" w:space="0"/>
            </w:tcBorders>
            <w:tcMar>
              <w:top w:w="15" w:type="dxa"/>
              <w:left w:w="15" w:type="dxa"/>
              <w:right w:w="15" w:type="dxa"/>
            </w:tcMar>
            <w:vAlign w:val="center"/>
          </w:tcPr>
          <w:p w:rsidR="00B61180" w:rsidP="00631238" w:rsidRDefault="00B61180" w14:paraId="6C2BA00B" w14:textId="77777777">
            <w:pPr>
              <w:spacing w:after="0"/>
              <w:jc w:val="center"/>
            </w:pPr>
            <w:r w:rsidRPr="1AB6159B">
              <w:rPr>
                <w:rFonts w:ascii="Arial Narrow" w:hAnsi="Arial Narrow" w:eastAsia="Arial Narrow" w:cs="Arial Narrow"/>
                <w:color w:val="000000" w:themeColor="text1"/>
              </w:rPr>
              <w:t xml:space="preserve">Mediante la mesa de trabajo y deliberación del tema de diálogo No. 3, se acordó que: </w:t>
            </w:r>
            <w:r>
              <w:br/>
            </w:r>
            <w:r w:rsidRPr="1AB6159B">
              <w:rPr>
                <w:rFonts w:ascii="Arial Narrow" w:hAnsi="Arial Narrow" w:eastAsia="Arial Narrow" w:cs="Arial Narrow"/>
                <w:color w:val="000000" w:themeColor="text1"/>
              </w:rPr>
              <w:t>El sistema de fiscalización compuesto por actores, deberes y mecanismos de conformidad con la propuesta del Minambiente que de acuerdo con la visión y sustento comunitario deberá estar integrado por los siguientes atributos:</w:t>
            </w:r>
            <w:r>
              <w:br/>
            </w:r>
            <w:r w:rsidRPr="1AB6159B">
              <w:rPr>
                <w:rFonts w:ascii="Arial Narrow" w:hAnsi="Arial Narrow" w:eastAsia="Arial Narrow" w:cs="Arial Narrow"/>
                <w:color w:val="000000" w:themeColor="text1"/>
              </w:rPr>
              <w:t xml:space="preserve"> -</w:t>
            </w:r>
            <w:r>
              <w:tab/>
            </w:r>
            <w:r w:rsidRPr="1AB6159B">
              <w:rPr>
                <w:rFonts w:ascii="Arial Narrow" w:hAnsi="Arial Narrow" w:eastAsia="Arial Narrow" w:cs="Arial Narrow"/>
                <w:color w:val="000000" w:themeColor="text1"/>
              </w:rPr>
              <w:t xml:space="preserve">Hubo consenso en que los actores </w:t>
            </w:r>
            <w:r w:rsidRPr="1AB6159B">
              <w:rPr>
                <w:rFonts w:ascii="Arial Narrow" w:hAnsi="Arial Narrow" w:eastAsia="Arial Narrow" w:cs="Arial Narrow"/>
                <w:color w:val="000000" w:themeColor="text1"/>
              </w:rPr>
              <w:t>de fiscalización sean: El Ministerio de Ambiente y Desarrollo Sostenible, las Corporaciones Autónomas Regionales, las Personerías Municipales, los alcaldes Municipales, la Fuerza Pública, las Veedurías Ciudadanas y los Gestores de Páramo, Así mismo, la comunidad sugirió incluir a la Auditoria General de la Nación - AGR, vincular las juntas de acción comunal de las áreas rurales y urbanas y vinculación de la academia como actores de prevención</w:t>
            </w:r>
            <w:r>
              <w:br/>
            </w:r>
            <w:r w:rsidRPr="1AB6159B">
              <w:rPr>
                <w:rFonts w:ascii="Arial Narrow" w:hAnsi="Arial Narrow" w:eastAsia="Arial Narrow" w:cs="Arial Narrow"/>
                <w:color w:val="000000" w:themeColor="text1"/>
              </w:rPr>
              <w:t xml:space="preserve"> -</w:t>
            </w:r>
            <w:r>
              <w:tab/>
            </w:r>
            <w:r w:rsidRPr="1AB6159B">
              <w:rPr>
                <w:rFonts w:ascii="Arial Narrow" w:hAnsi="Arial Narrow" w:eastAsia="Arial Narrow" w:cs="Arial Narrow"/>
                <w:color w:val="000000" w:themeColor="text1"/>
              </w:rPr>
              <w:t>Hubo consenso en que los principios fueran: eficacia, eficiencia, economía, equidad, valoración de los costos ambientales, legalidad, autonomía, imparcialidad, agilidad, responsabilidad y precaución. Asimismo, la comunidad sugirió los siguientes principios: puntualidad, severidad sancionatoria, transparencia, economía circular, accesibilidad a la comunidad, responsabilidad ambiental compartida, inmediatez, reciprocidad y protección del ambiente.</w:t>
            </w:r>
            <w:r>
              <w:br/>
            </w:r>
            <w:r w:rsidRPr="1AB6159B">
              <w:rPr>
                <w:rFonts w:ascii="Arial Narrow" w:hAnsi="Arial Narrow" w:eastAsia="Arial Narrow" w:cs="Arial Narrow"/>
                <w:color w:val="000000" w:themeColor="text1"/>
              </w:rPr>
              <w:t xml:space="preserve"> -</w:t>
            </w:r>
            <w:r>
              <w:tab/>
            </w:r>
            <w:r w:rsidRPr="1AB6159B">
              <w:rPr>
                <w:rFonts w:ascii="Arial Narrow" w:hAnsi="Arial Narrow" w:eastAsia="Arial Narrow" w:cs="Arial Narrow"/>
                <w:color w:val="000000" w:themeColor="text1"/>
              </w:rPr>
              <w:t>Hubo consenso en que los deberes del sistema de fiscalización son: evaluación, control social, sanción y supervisión.</w:t>
            </w:r>
            <w:r>
              <w:br/>
            </w:r>
            <w:r w:rsidRPr="1AB6159B">
              <w:rPr>
                <w:rFonts w:ascii="Arial Narrow" w:hAnsi="Arial Narrow" w:eastAsia="Arial Narrow" w:cs="Arial Narrow"/>
                <w:color w:val="000000" w:themeColor="text1"/>
              </w:rPr>
              <w:t xml:space="preserve"> -</w:t>
            </w:r>
            <w:r>
              <w:tab/>
            </w:r>
            <w:r w:rsidRPr="1AB6159B">
              <w:rPr>
                <w:rFonts w:ascii="Arial Narrow" w:hAnsi="Arial Narrow" w:eastAsia="Arial Narrow" w:cs="Arial Narrow"/>
                <w:color w:val="000000" w:themeColor="text1"/>
              </w:rPr>
              <w:t>La comunidad sugirió en cuanto a los mecanismos establecer un principio de seguimiento y cumplimiento sancionatorio.</w:t>
            </w:r>
            <w:r>
              <w:br/>
            </w:r>
            <w:r w:rsidRPr="1AB6159B">
              <w:rPr>
                <w:rFonts w:ascii="Arial Narrow" w:hAnsi="Arial Narrow" w:eastAsia="Arial Narrow" w:cs="Arial Narrow"/>
                <w:color w:val="000000" w:themeColor="text1"/>
              </w:rPr>
              <w:t xml:space="preserve"> -</w:t>
            </w:r>
            <w:r>
              <w:tab/>
            </w:r>
            <w:r w:rsidRPr="1AB6159B">
              <w:rPr>
                <w:rFonts w:ascii="Arial Narrow" w:hAnsi="Arial Narrow" w:eastAsia="Arial Narrow" w:cs="Arial Narrow"/>
                <w:color w:val="000000" w:themeColor="text1"/>
              </w:rPr>
              <w:t>Garantías en el acceso a la información y protección de los lideres ambientales relacionadas en el acuerdo de ESCAZÚ.</w:t>
            </w:r>
          </w:p>
        </w:tc>
        <w:tc>
          <w:tcPr>
            <w:tcW w:w="2917"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B61180" w:rsidP="00631238" w:rsidRDefault="00B61180" w14:paraId="60A7AFDE" w14:textId="77777777">
            <w:pPr>
              <w:spacing w:after="0"/>
            </w:pPr>
            <w:r w:rsidRPr="1AB6159B">
              <w:rPr>
                <w:rFonts w:ascii="Arial Narrow" w:hAnsi="Arial Narrow" w:eastAsia="Arial Narrow" w:cs="Arial Narrow"/>
              </w:rPr>
              <w:t xml:space="preserve">En relación con la inclusión y funciones de los gestores de páramos será regulada conforme a lo establecido en la Ley 1930 de 2018 y la resolución 814 de 2026. No obstante lo anterior, en la resolución en el parágrafo 4 del artículo 4 se establece que toda organización que busque inscribirse </w:t>
            </w:r>
            <w:r w:rsidRPr="1AB6159B">
              <w:rPr>
                <w:rFonts w:ascii="Arial Narrow" w:hAnsi="Arial Narrow" w:eastAsia="Arial Narrow" w:cs="Arial Narrow"/>
              </w:rPr>
              <w:t xml:space="preserve">como gestor de páramo o tenga interés en ello debe ser de carácter local. Así mismo, en la resolución se esclarece en su artículo 8 en relación con sus compromisos la necesidad de participar de manera activa y reportar la información requerida para garantizar los procesos de gestión integral del páramo y la correcta aplicación del posterior plan de manejo que se formule para el mismo. </w:t>
            </w:r>
            <w:r>
              <w:br/>
            </w:r>
            <w:r>
              <w:br/>
            </w:r>
            <w:r w:rsidRPr="1AB6159B">
              <w:rPr>
                <w:rFonts w:ascii="Arial Narrow" w:hAnsi="Arial Narrow" w:eastAsia="Arial Narrow" w:cs="Arial Narrow"/>
              </w:rPr>
              <w:t xml:space="preserve">Es de recordar que las veedurías ciudadanas son mecanismos de participación y control social creadas por los ciudadanos conforme a la Ley 850 de 2003, aunque el Ministerio de Ambiente y Desarrollo sostenible no puede crearlas o dirigirlas, no desconoce que el sistema de fiscalización podrá articular y facilitar el ejercicio de las veedurías ciudadanas que se constituyan conforme a la Ley 850 de 2003. </w:t>
            </w:r>
          </w:p>
        </w:tc>
        <w:tc>
          <w:tcPr>
            <w:tcW w:w="122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B61180" w:rsidP="00631238" w:rsidRDefault="00B61180" w14:paraId="1C12CAD1" w14:textId="77777777">
            <w:pPr>
              <w:spacing w:after="0"/>
              <w:jc w:val="center"/>
            </w:pPr>
            <w:r w:rsidRPr="1AB6159B">
              <w:rPr>
                <w:rFonts w:ascii="Arial Narrow" w:hAnsi="Arial Narrow" w:eastAsia="Arial Narrow" w:cs="Arial Narrow"/>
              </w:rPr>
              <w:t>Se acoge</w:t>
            </w:r>
          </w:p>
        </w:tc>
      </w:tr>
      <w:tr w:rsidR="00B61180" w:rsidTr="00B61180" w14:paraId="6D35819A" w14:textId="77777777">
        <w:trPr>
          <w:trHeight w:val="2565"/>
        </w:trPr>
        <w:tc>
          <w:tcPr>
            <w:tcW w:w="1262" w:type="dxa"/>
            <w:vMerge/>
            <w:tcBorders>
              <w:left w:val="single" w:color="auto" w:sz="0" w:space="0"/>
              <w:bottom w:val="single" w:color="000000" w:themeColor="text1" w:sz="0" w:space="0"/>
              <w:right w:val="single" w:color="auto" w:sz="0" w:space="0"/>
            </w:tcBorders>
            <w:vAlign w:val="center"/>
          </w:tcPr>
          <w:p w:rsidR="00B61180" w:rsidP="00631238" w:rsidRDefault="00B61180" w14:paraId="23C60011" w14:textId="77777777"/>
        </w:tc>
        <w:tc>
          <w:tcPr>
            <w:tcW w:w="3668" w:type="dxa"/>
            <w:vMerge/>
            <w:tcBorders>
              <w:left w:val="single" w:color="auto" w:sz="0" w:space="0"/>
              <w:bottom w:val="single" w:color="000000" w:themeColor="text1" w:sz="0" w:space="0"/>
              <w:right w:val="single" w:color="auto" w:sz="0" w:space="0"/>
            </w:tcBorders>
            <w:vAlign w:val="center"/>
          </w:tcPr>
          <w:p w:rsidR="00B61180" w:rsidP="00631238" w:rsidRDefault="00B61180" w14:paraId="7DFD3F93" w14:textId="77777777"/>
        </w:tc>
        <w:tc>
          <w:tcPr>
            <w:tcW w:w="2917" w:type="dxa"/>
            <w:tcBorders>
              <w:top w:val="single" w:color="auto" w:sz="4" w:space="0"/>
              <w:left w:val="nil"/>
              <w:bottom w:val="single" w:color="auto" w:sz="4" w:space="0"/>
              <w:right w:val="single" w:color="auto" w:sz="4" w:space="0"/>
            </w:tcBorders>
            <w:tcMar>
              <w:top w:w="15" w:type="dxa"/>
              <w:left w:w="15" w:type="dxa"/>
              <w:right w:w="15" w:type="dxa"/>
            </w:tcMar>
            <w:vAlign w:val="center"/>
          </w:tcPr>
          <w:p w:rsidR="00B61180" w:rsidP="00631238" w:rsidRDefault="00B61180" w14:paraId="777CDB77" w14:textId="77777777">
            <w:pPr>
              <w:spacing w:after="0"/>
            </w:pPr>
            <w:r w:rsidRPr="1AB6159B">
              <w:rPr>
                <w:rFonts w:ascii="Arial Narrow" w:hAnsi="Arial Narrow" w:eastAsia="Arial Narrow" w:cs="Arial Narrow"/>
                <w:color w:val="000000" w:themeColor="text1"/>
              </w:rPr>
              <w:t xml:space="preserve">Se acogen parcialmente algunos de los principios propuestos. No obstante, los principios de inmediatez, economía circular, valoración de los costos ambientales y severidad sancionatoria hacen parte de los principios que guían las funciones y forma de actuación del sistema de fiscalización según la T-361 de 2017, puesto que no guardan coherencia con la naturaleza del sistema como un mecanismo de seguimiento, articulación y verificación del cumplimiento de acuerdos, sin invadir las competencias de las autoridades ambientales ni desdibujar el </w:t>
            </w:r>
            <w:r w:rsidRPr="1AB6159B">
              <w:rPr>
                <w:rFonts w:ascii="Arial Narrow" w:hAnsi="Arial Narrow" w:eastAsia="Arial Narrow" w:cs="Arial Narrow"/>
                <w:color w:val="000000" w:themeColor="text1"/>
              </w:rPr>
              <w:t xml:space="preserve">enfoque participativo que caracteriza la Sentencia T-361 de 2017. Así como tampoco se compaginan con el enfoque participativo y preventivo de la sentencia, que busca privilegiar el diálogo y el cumplimiento de acuerdos antes que la sanción. </w:t>
            </w:r>
          </w:p>
        </w:tc>
        <w:tc>
          <w:tcPr>
            <w:tcW w:w="122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B61180" w:rsidP="00631238" w:rsidRDefault="00B61180" w14:paraId="0BFC682F" w14:textId="77777777">
            <w:pPr>
              <w:spacing w:after="0"/>
              <w:jc w:val="center"/>
            </w:pPr>
            <w:r w:rsidRPr="1AB6159B">
              <w:rPr>
                <w:rFonts w:ascii="Arial Narrow" w:hAnsi="Arial Narrow" w:eastAsia="Arial Narrow" w:cs="Arial Narrow"/>
                <w:color w:val="000000" w:themeColor="text1"/>
              </w:rPr>
              <w:t>Se acoge parcialmente</w:t>
            </w:r>
          </w:p>
        </w:tc>
      </w:tr>
      <w:tr w:rsidR="00B61180" w:rsidTr="00B61180" w14:paraId="5D31D1CA" w14:textId="77777777">
        <w:trPr>
          <w:trHeight w:val="2527"/>
        </w:trPr>
        <w:tc>
          <w:tcPr>
            <w:tcW w:w="1262" w:type="dxa"/>
            <w:vMerge w:val="restart"/>
            <w:tcBorders>
              <w:top w:val="nil"/>
              <w:left w:val="single" w:color="auto" w:sz="4" w:space="0"/>
              <w:bottom w:val="single" w:color="000000" w:themeColor="text1" w:sz="4" w:space="0"/>
              <w:right w:val="single" w:color="auto" w:sz="4" w:space="0"/>
            </w:tcBorders>
            <w:shd w:val="clear" w:color="auto" w:fill="DAF2D0"/>
            <w:tcMar>
              <w:top w:w="15" w:type="dxa"/>
              <w:left w:w="15" w:type="dxa"/>
              <w:right w:w="15" w:type="dxa"/>
            </w:tcMar>
            <w:vAlign w:val="center"/>
          </w:tcPr>
          <w:p w:rsidR="00B61180" w:rsidP="00631238" w:rsidRDefault="00B61180" w14:paraId="38B9E96E" w14:textId="77777777">
            <w:pPr>
              <w:spacing w:after="0"/>
              <w:jc w:val="center"/>
            </w:pPr>
            <w:r w:rsidRPr="1AB6159B">
              <w:rPr>
                <w:rFonts w:ascii="Arial Narrow" w:hAnsi="Arial Narrow" w:eastAsia="Arial Narrow" w:cs="Arial Narrow"/>
                <w:b/>
                <w:bCs/>
                <w:color w:val="000000" w:themeColor="text1"/>
              </w:rPr>
              <w:t>Girón (S)</w:t>
            </w:r>
          </w:p>
        </w:tc>
        <w:tc>
          <w:tcPr>
            <w:tcW w:w="3668" w:type="dxa"/>
            <w:vMerge w:val="restart"/>
            <w:tcBorders>
              <w:top w:val="nil"/>
              <w:left w:val="single" w:color="auto" w:sz="4" w:space="0"/>
              <w:bottom w:val="single" w:color="000000" w:themeColor="text1" w:sz="4" w:space="0"/>
              <w:right w:val="single" w:color="auto" w:sz="4" w:space="0"/>
            </w:tcBorders>
            <w:tcMar>
              <w:top w:w="15" w:type="dxa"/>
              <w:left w:w="15" w:type="dxa"/>
              <w:right w:w="15" w:type="dxa"/>
            </w:tcMar>
            <w:vAlign w:val="center"/>
          </w:tcPr>
          <w:p w:rsidR="00B61180" w:rsidP="00631238" w:rsidRDefault="00B61180" w14:paraId="4F3CFDCC" w14:textId="77777777">
            <w:pPr>
              <w:spacing w:after="0"/>
              <w:jc w:val="center"/>
            </w:pPr>
            <w:r w:rsidRPr="1AB6159B">
              <w:rPr>
                <w:rFonts w:ascii="Arial Narrow" w:hAnsi="Arial Narrow" w:eastAsia="Arial Narrow" w:cs="Arial Narrow"/>
                <w:color w:val="000000" w:themeColor="text1"/>
              </w:rPr>
              <w:t xml:space="preserve">Mediante la mesa de trabajo y deliberación del tema de diálogo No. 3, se acordó que: </w:t>
            </w:r>
            <w:r>
              <w:br/>
            </w:r>
            <w:r w:rsidRPr="1AB6159B">
              <w:rPr>
                <w:rFonts w:ascii="Arial Narrow" w:hAnsi="Arial Narrow" w:eastAsia="Arial Narrow" w:cs="Arial Narrow"/>
                <w:color w:val="000000" w:themeColor="text1"/>
              </w:rPr>
              <w:t>El sistema de fiscalización compuesto por actores, deberes y mecanismos de conformidad con la propuesta del Minambiente que de acuerdo con la visión y sustento comunitario deberá estar integrado por los siguientes atributos:</w:t>
            </w:r>
            <w:r>
              <w:br/>
            </w:r>
            <w:r w:rsidRPr="1AB6159B">
              <w:rPr>
                <w:rFonts w:ascii="Arial Narrow" w:hAnsi="Arial Narrow" w:eastAsia="Arial Narrow" w:cs="Arial Narrow"/>
                <w:color w:val="000000" w:themeColor="text1"/>
              </w:rPr>
              <w:t xml:space="preserve"> -</w:t>
            </w:r>
            <w:r>
              <w:tab/>
            </w:r>
            <w:r w:rsidRPr="1AB6159B">
              <w:rPr>
                <w:rFonts w:ascii="Arial Narrow" w:hAnsi="Arial Narrow" w:eastAsia="Arial Narrow" w:cs="Arial Narrow"/>
                <w:color w:val="000000" w:themeColor="text1"/>
              </w:rPr>
              <w:t>Hubo consenso en que los actores de fiscalización sean: El Ministerio de Ambiente y Desarrollo Sostenible, las Corporaciones Autónomas Regionales, las Personerías Municipales, los alcaldes Municipales, la Fuerza Pública, las Veedurías Ciudadanas y los Gestores de Páramo.</w:t>
            </w:r>
            <w:r>
              <w:br/>
            </w:r>
            <w:r w:rsidRPr="1AB6159B">
              <w:rPr>
                <w:rFonts w:ascii="Arial Narrow" w:hAnsi="Arial Narrow" w:eastAsia="Arial Narrow" w:cs="Arial Narrow"/>
                <w:color w:val="000000" w:themeColor="text1"/>
              </w:rPr>
              <w:t xml:space="preserve"> -</w:t>
            </w:r>
            <w:r>
              <w:tab/>
            </w:r>
            <w:r w:rsidRPr="1AB6159B">
              <w:rPr>
                <w:rFonts w:ascii="Arial Narrow" w:hAnsi="Arial Narrow" w:eastAsia="Arial Narrow" w:cs="Arial Narrow"/>
                <w:color w:val="000000" w:themeColor="text1"/>
              </w:rPr>
              <w:t xml:space="preserve">Hubo consenso en que los principios fueran: eficacia, eficiencia, economía, equidad, valoración de los costos ambientales, legalidad, autonomía, imparcialidad, agilidad, responsabilidad y precaución. </w:t>
            </w:r>
            <w:r>
              <w:br/>
            </w:r>
            <w:r w:rsidRPr="1AB6159B">
              <w:rPr>
                <w:rFonts w:ascii="Arial Narrow" w:hAnsi="Arial Narrow" w:eastAsia="Arial Narrow" w:cs="Arial Narrow"/>
                <w:color w:val="000000" w:themeColor="text1"/>
              </w:rPr>
              <w:t>-</w:t>
            </w:r>
            <w:r>
              <w:tab/>
            </w:r>
            <w:r w:rsidRPr="1AB6159B">
              <w:rPr>
                <w:rFonts w:ascii="Arial Narrow" w:hAnsi="Arial Narrow" w:eastAsia="Arial Narrow" w:cs="Arial Narrow"/>
                <w:color w:val="000000" w:themeColor="text1"/>
              </w:rPr>
              <w:t>Hubo consenso en que los deberes del sistema de fiscalización son: evaluación, control social, sanción y supervisión.</w:t>
            </w:r>
          </w:p>
        </w:tc>
        <w:tc>
          <w:tcPr>
            <w:tcW w:w="2917"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B61180" w:rsidP="00631238" w:rsidRDefault="00B61180" w14:paraId="71E156F8" w14:textId="77777777">
            <w:pPr>
              <w:spacing w:after="0"/>
            </w:pPr>
            <w:r w:rsidRPr="1AB6159B">
              <w:rPr>
                <w:rFonts w:ascii="Arial Narrow" w:hAnsi="Arial Narrow" w:eastAsia="Arial Narrow" w:cs="Arial Narrow"/>
                <w:color w:val="000000" w:themeColor="text1"/>
              </w:rPr>
              <w:t xml:space="preserve">En relación con la inclusión y funciones de los gestores de páramos será regulada conforme a lo establecido en la Ley 1930 de 2018 y la resolución 814 de 2026. No obstante lo anterior, en la resolución en el parágrafo 4 del artículo 4 se establece que toda organización que busque inscribirse como gestor de páramo o tenga interés en ello debe ser de carácter local. Así mismo, en la resolución se esclarece en su artículo 8 en relación con sus compromisos la necesidad de participar de manera activa y reportar la información requerida para garantizar los procesos de gestión integral del páramo y la correcta aplicación del posterior plan de manejo que se formule para el mismo. </w:t>
            </w:r>
            <w:r>
              <w:br/>
            </w:r>
            <w:r>
              <w:br/>
            </w:r>
            <w:r w:rsidRPr="1AB6159B">
              <w:rPr>
                <w:rFonts w:ascii="Arial Narrow" w:hAnsi="Arial Narrow" w:eastAsia="Arial Narrow" w:cs="Arial Narrow"/>
                <w:color w:val="000000" w:themeColor="text1"/>
              </w:rPr>
              <w:t xml:space="preserve">Es de recordar que las veedurías ciudadanas son mecanismos de participación y control social creadas por los ciudadanos conforme a la Ley 850 de 2003, aunque el Ministerio de Ambiente y Desarrollo sostenible no puede crearlas o dirigirlas, no desconoce que el sistema de fiscalización podrá articular y facilitar el ejercicio de las veedurías ciudadanas que </w:t>
            </w:r>
            <w:r w:rsidRPr="1AB6159B">
              <w:rPr>
                <w:rFonts w:ascii="Arial Narrow" w:hAnsi="Arial Narrow" w:eastAsia="Arial Narrow" w:cs="Arial Narrow"/>
                <w:color w:val="000000" w:themeColor="text1"/>
              </w:rPr>
              <w:t xml:space="preserve">se constituyan conforme a la Ley 850 de 2003. </w:t>
            </w:r>
          </w:p>
        </w:tc>
        <w:tc>
          <w:tcPr>
            <w:tcW w:w="122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B61180" w:rsidP="00631238" w:rsidRDefault="00B61180" w14:paraId="6CD25C74" w14:textId="77777777">
            <w:pPr>
              <w:spacing w:after="0"/>
              <w:jc w:val="center"/>
            </w:pPr>
            <w:r w:rsidRPr="1AB6159B">
              <w:rPr>
                <w:rFonts w:ascii="Arial Narrow" w:hAnsi="Arial Narrow" w:eastAsia="Arial Narrow" w:cs="Arial Narrow"/>
                <w:color w:val="000000" w:themeColor="text1"/>
              </w:rPr>
              <w:t>Se acoge</w:t>
            </w:r>
          </w:p>
        </w:tc>
      </w:tr>
      <w:tr w:rsidR="00B61180" w:rsidTr="00B61180" w14:paraId="58D1798A" w14:textId="77777777">
        <w:trPr>
          <w:trHeight w:val="1650"/>
        </w:trPr>
        <w:tc>
          <w:tcPr>
            <w:tcW w:w="1262" w:type="dxa"/>
            <w:vMerge/>
            <w:tcBorders>
              <w:left w:val="single" w:color="auto" w:sz="0" w:space="0"/>
              <w:bottom w:val="single" w:color="000000" w:themeColor="text1" w:sz="0" w:space="0"/>
              <w:right w:val="single" w:color="auto" w:sz="0" w:space="0"/>
            </w:tcBorders>
            <w:vAlign w:val="center"/>
          </w:tcPr>
          <w:p w:rsidR="00B61180" w:rsidP="00631238" w:rsidRDefault="00B61180" w14:paraId="5B4A11C4" w14:textId="77777777"/>
        </w:tc>
        <w:tc>
          <w:tcPr>
            <w:tcW w:w="3668" w:type="dxa"/>
            <w:vMerge/>
            <w:tcBorders>
              <w:left w:val="single" w:color="auto" w:sz="0" w:space="0"/>
              <w:bottom w:val="single" w:color="000000" w:themeColor="text1" w:sz="0" w:space="0"/>
              <w:right w:val="single" w:color="auto" w:sz="0" w:space="0"/>
            </w:tcBorders>
            <w:vAlign w:val="center"/>
          </w:tcPr>
          <w:p w:rsidR="00B61180" w:rsidP="00631238" w:rsidRDefault="00B61180" w14:paraId="43986ECF" w14:textId="77777777"/>
        </w:tc>
        <w:tc>
          <w:tcPr>
            <w:tcW w:w="2917" w:type="dxa"/>
            <w:tcBorders>
              <w:top w:val="single" w:color="auto" w:sz="4" w:space="0"/>
              <w:left w:val="nil"/>
              <w:bottom w:val="single" w:color="auto" w:sz="4" w:space="0"/>
              <w:right w:val="single" w:color="auto" w:sz="4" w:space="0"/>
            </w:tcBorders>
            <w:tcMar>
              <w:top w:w="15" w:type="dxa"/>
              <w:left w:w="15" w:type="dxa"/>
              <w:right w:w="15" w:type="dxa"/>
            </w:tcMar>
            <w:vAlign w:val="center"/>
          </w:tcPr>
          <w:p w:rsidR="00B61180" w:rsidP="00631238" w:rsidRDefault="00B61180" w14:paraId="49DFD689" w14:textId="77777777">
            <w:pPr>
              <w:spacing w:after="0"/>
              <w:jc w:val="center"/>
            </w:pPr>
            <w:r w:rsidRPr="1AB6159B">
              <w:rPr>
                <w:rFonts w:ascii="Arial Narrow" w:hAnsi="Arial Narrow" w:eastAsia="Arial Narrow" w:cs="Arial Narrow"/>
                <w:color w:val="000000" w:themeColor="text1"/>
              </w:rPr>
              <w:t xml:space="preserve">Se acogen parcialmente algunos de los principios propuestos. No obstante, los principios de valoración de los costos ambientales  no se acoge pues no guarda coherencia con la naturaleza del sistema como un mecanismo de seguimiento, articulación y verificación del cumplimiento de acuerdos, sin invadir las competencias de las autoridades ambientales ni desdibujar el enfoque participativo que caracteriza la Sentencia T-361 de 2017. </w:t>
            </w:r>
          </w:p>
        </w:tc>
        <w:tc>
          <w:tcPr>
            <w:tcW w:w="122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B61180" w:rsidP="00631238" w:rsidRDefault="00B61180" w14:paraId="2B362FB8" w14:textId="77777777">
            <w:pPr>
              <w:spacing w:after="0"/>
              <w:jc w:val="center"/>
            </w:pPr>
            <w:r w:rsidRPr="1AB6159B">
              <w:rPr>
                <w:rFonts w:ascii="Arial Narrow" w:hAnsi="Arial Narrow" w:eastAsia="Arial Narrow" w:cs="Arial Narrow"/>
                <w:color w:val="000000" w:themeColor="text1"/>
              </w:rPr>
              <w:t>Se acoge parcialmente</w:t>
            </w:r>
          </w:p>
        </w:tc>
      </w:tr>
      <w:tr w:rsidR="00B61180" w:rsidTr="00B61180" w14:paraId="668AA994" w14:textId="77777777">
        <w:trPr>
          <w:trHeight w:val="9205"/>
        </w:trPr>
        <w:tc>
          <w:tcPr>
            <w:tcW w:w="1262" w:type="dxa"/>
            <w:vMerge w:val="restart"/>
            <w:tcBorders>
              <w:top w:val="nil"/>
              <w:left w:val="single" w:color="auto" w:sz="4" w:space="0"/>
              <w:bottom w:val="single" w:color="000000" w:themeColor="text1" w:sz="4" w:space="0"/>
              <w:right w:val="single" w:color="auto" w:sz="4" w:space="0"/>
            </w:tcBorders>
            <w:shd w:val="clear" w:color="auto" w:fill="DAF2D0"/>
            <w:tcMar>
              <w:top w:w="15" w:type="dxa"/>
              <w:left w:w="15" w:type="dxa"/>
              <w:right w:w="15" w:type="dxa"/>
            </w:tcMar>
            <w:vAlign w:val="center"/>
          </w:tcPr>
          <w:p w:rsidR="00B61180" w:rsidP="00631238" w:rsidRDefault="00B61180" w14:paraId="773078D9" w14:textId="77777777">
            <w:pPr>
              <w:spacing w:after="0"/>
              <w:jc w:val="center"/>
            </w:pPr>
            <w:r w:rsidRPr="1AB6159B">
              <w:rPr>
                <w:rFonts w:ascii="Arial Narrow" w:hAnsi="Arial Narrow" w:eastAsia="Arial Narrow" w:cs="Arial Narrow"/>
                <w:b/>
                <w:bCs/>
                <w:color w:val="000000" w:themeColor="text1"/>
              </w:rPr>
              <w:t>Floridablanca (S)</w:t>
            </w:r>
          </w:p>
        </w:tc>
        <w:tc>
          <w:tcPr>
            <w:tcW w:w="3668" w:type="dxa"/>
            <w:vMerge w:val="restart"/>
            <w:tcBorders>
              <w:top w:val="nil"/>
              <w:left w:val="single" w:color="auto" w:sz="4" w:space="0"/>
              <w:bottom w:val="single" w:color="000000" w:themeColor="text1" w:sz="4" w:space="0"/>
              <w:right w:val="single" w:color="auto" w:sz="4" w:space="0"/>
            </w:tcBorders>
            <w:tcMar>
              <w:top w:w="15" w:type="dxa"/>
              <w:left w:w="15" w:type="dxa"/>
              <w:right w:w="15" w:type="dxa"/>
            </w:tcMar>
            <w:vAlign w:val="center"/>
          </w:tcPr>
          <w:p w:rsidR="00B61180" w:rsidP="00631238" w:rsidRDefault="00B61180" w14:paraId="1999153F" w14:textId="77777777">
            <w:pPr>
              <w:spacing w:after="0"/>
              <w:jc w:val="center"/>
            </w:pPr>
            <w:r w:rsidRPr="1AB6159B">
              <w:rPr>
                <w:rFonts w:ascii="Arial Narrow" w:hAnsi="Arial Narrow" w:eastAsia="Arial Narrow" w:cs="Arial Narrow"/>
                <w:color w:val="000000" w:themeColor="text1"/>
              </w:rPr>
              <w:t xml:space="preserve">Mediante la mesa de trabajo y deliberación del tema de diálogo No. 3, se acordó que: </w:t>
            </w:r>
            <w:r>
              <w:br/>
            </w:r>
            <w:r w:rsidRPr="1AB6159B">
              <w:rPr>
                <w:rFonts w:ascii="Arial Narrow" w:hAnsi="Arial Narrow" w:eastAsia="Arial Narrow" w:cs="Arial Narrow"/>
                <w:color w:val="000000" w:themeColor="text1"/>
              </w:rPr>
              <w:t>El sistema de fiscalización compuesto por actores, deberes y mecanismos de conformidad con la propuesta del MADS que de acuerdo con la visión y sustento comunitario deberá estar integrado por los siguientes atributos:</w:t>
            </w:r>
            <w:r>
              <w:br/>
            </w:r>
            <w:r w:rsidRPr="1AB6159B">
              <w:rPr>
                <w:rFonts w:ascii="Arial Narrow" w:hAnsi="Arial Narrow" w:eastAsia="Arial Narrow" w:cs="Arial Narrow"/>
                <w:color w:val="000000" w:themeColor="text1"/>
              </w:rPr>
              <w:t xml:space="preserve"> -</w:t>
            </w:r>
            <w:r>
              <w:tab/>
            </w:r>
            <w:r w:rsidRPr="1AB6159B">
              <w:rPr>
                <w:rFonts w:ascii="Arial Narrow" w:hAnsi="Arial Narrow" w:eastAsia="Arial Narrow" w:cs="Arial Narrow"/>
                <w:color w:val="000000" w:themeColor="text1"/>
              </w:rPr>
              <w:t>Hubo consenso en que los actores de fiscalización sean: El Ministerio de Ambiente y Desarrollo Sostenible, las Corporaciones Autónomas Regionales, las Personerías Municipales, los alcaldes Municipales, la Fuerza Pública, las Veedurías Ciudadanas, los Gestores de Páramo, el Instituto Alexander Von Humbolt, comunidades campesinas</w:t>
            </w:r>
            <w:r>
              <w:br/>
            </w:r>
            <w:r w:rsidRPr="1AB6159B">
              <w:rPr>
                <w:rFonts w:ascii="Arial Narrow" w:hAnsi="Arial Narrow" w:eastAsia="Arial Narrow" w:cs="Arial Narrow"/>
                <w:color w:val="000000" w:themeColor="text1"/>
              </w:rPr>
              <w:t xml:space="preserve"> -</w:t>
            </w:r>
            <w:r>
              <w:tab/>
            </w:r>
            <w:r w:rsidRPr="1AB6159B">
              <w:rPr>
                <w:rFonts w:ascii="Arial Narrow" w:hAnsi="Arial Narrow" w:eastAsia="Arial Narrow" w:cs="Arial Narrow"/>
                <w:color w:val="000000" w:themeColor="text1"/>
              </w:rPr>
              <w:t>Hubo consenso en que los principios fueran: Legalidad, prevención, participación, Coordinación, transparencia, Rendición de cuentas, equidad, Imparcialidad, Seguridad y gradualidad</w:t>
            </w:r>
            <w:r>
              <w:br/>
            </w:r>
            <w:r w:rsidRPr="1AB6159B">
              <w:rPr>
                <w:rFonts w:ascii="Arial Narrow" w:hAnsi="Arial Narrow" w:eastAsia="Arial Narrow" w:cs="Arial Narrow"/>
                <w:color w:val="000000" w:themeColor="text1"/>
              </w:rPr>
              <w:t xml:space="preserve"> -</w:t>
            </w:r>
            <w:r>
              <w:tab/>
            </w:r>
            <w:r w:rsidRPr="1AB6159B">
              <w:rPr>
                <w:rFonts w:ascii="Arial Narrow" w:hAnsi="Arial Narrow" w:eastAsia="Arial Narrow" w:cs="Arial Narrow"/>
                <w:color w:val="000000" w:themeColor="text1"/>
              </w:rPr>
              <w:t>Hubo consenso en que los ejes del sistema sean: Vigilar y alertar temprano (Control Preventivo), Participar y Acordar (Participación deliberativa), Cuentas claras para todos (Transparencia).</w:t>
            </w:r>
          </w:p>
        </w:tc>
        <w:tc>
          <w:tcPr>
            <w:tcW w:w="2917"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B61180" w:rsidP="00631238" w:rsidRDefault="00B61180" w14:paraId="20D0C178" w14:textId="77777777">
            <w:pPr>
              <w:spacing w:after="0"/>
              <w:jc w:val="center"/>
            </w:pPr>
            <w:r w:rsidRPr="1AB6159B">
              <w:rPr>
                <w:rFonts w:ascii="Arial Narrow" w:hAnsi="Arial Narrow" w:eastAsia="Arial Narrow" w:cs="Arial Narrow"/>
                <w:color w:val="000000" w:themeColor="text1"/>
              </w:rPr>
              <w:t xml:space="preserve">Se acogen los principios sugeridos y el sistema de fiscalización presentado durante el espacio, y las propuestas nuevas se integran a los principios ya propuestos para robustecerlos y que puedan reflejar las propuestas de la comunidad. </w:t>
            </w:r>
          </w:p>
        </w:tc>
        <w:tc>
          <w:tcPr>
            <w:tcW w:w="122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B61180" w:rsidP="00631238" w:rsidRDefault="00B61180" w14:paraId="039AD930" w14:textId="77777777">
            <w:pPr>
              <w:spacing w:after="0"/>
              <w:jc w:val="center"/>
            </w:pPr>
            <w:r w:rsidRPr="1AB6159B">
              <w:rPr>
                <w:rFonts w:ascii="Arial Narrow" w:hAnsi="Arial Narrow" w:eastAsia="Arial Narrow" w:cs="Arial Narrow"/>
                <w:color w:val="000000" w:themeColor="text1"/>
              </w:rPr>
              <w:t>Se acoge</w:t>
            </w:r>
          </w:p>
        </w:tc>
      </w:tr>
      <w:tr w:rsidR="00B61180" w:rsidTr="00B61180" w14:paraId="3A8F5AED" w14:textId="77777777">
        <w:trPr>
          <w:trHeight w:val="4950"/>
        </w:trPr>
        <w:tc>
          <w:tcPr>
            <w:tcW w:w="1262" w:type="dxa"/>
            <w:vMerge/>
            <w:tcBorders>
              <w:left w:val="single" w:color="auto" w:sz="0" w:space="0"/>
              <w:bottom w:val="single" w:color="000000" w:themeColor="text1" w:sz="0" w:space="0"/>
              <w:right w:val="single" w:color="auto" w:sz="0" w:space="0"/>
            </w:tcBorders>
            <w:vAlign w:val="center"/>
          </w:tcPr>
          <w:p w:rsidR="00B61180" w:rsidP="00631238" w:rsidRDefault="00B61180" w14:paraId="709873DF" w14:textId="77777777"/>
        </w:tc>
        <w:tc>
          <w:tcPr>
            <w:tcW w:w="3668" w:type="dxa"/>
            <w:vMerge/>
            <w:tcBorders>
              <w:left w:val="single" w:color="auto" w:sz="0" w:space="0"/>
              <w:bottom w:val="single" w:color="000000" w:themeColor="text1" w:sz="0" w:space="0"/>
              <w:right w:val="single" w:color="auto" w:sz="0" w:space="0"/>
            </w:tcBorders>
            <w:vAlign w:val="center"/>
          </w:tcPr>
          <w:p w:rsidR="00B61180" w:rsidP="00631238" w:rsidRDefault="00B61180" w14:paraId="23A21B70" w14:textId="77777777"/>
        </w:tc>
        <w:tc>
          <w:tcPr>
            <w:tcW w:w="2917" w:type="dxa"/>
            <w:tcBorders>
              <w:top w:val="single" w:color="auto" w:sz="4" w:space="0"/>
              <w:left w:val="nil"/>
              <w:bottom w:val="single" w:color="auto" w:sz="4" w:space="0"/>
              <w:right w:val="single" w:color="auto" w:sz="4" w:space="0"/>
            </w:tcBorders>
            <w:tcMar>
              <w:top w:w="15" w:type="dxa"/>
              <w:left w:w="15" w:type="dxa"/>
              <w:right w:w="15" w:type="dxa"/>
            </w:tcMar>
            <w:vAlign w:val="center"/>
          </w:tcPr>
          <w:p w:rsidR="00B61180" w:rsidP="00631238" w:rsidRDefault="00B61180" w14:paraId="1D03610B" w14:textId="77777777">
            <w:pPr>
              <w:spacing w:after="0"/>
            </w:pPr>
            <w:r w:rsidRPr="1AB6159B">
              <w:rPr>
                <w:rFonts w:ascii="Arial Narrow" w:hAnsi="Arial Narrow" w:eastAsia="Arial Narrow" w:cs="Arial Narrow"/>
                <w:color w:val="000000" w:themeColor="text1"/>
              </w:rPr>
              <w:t xml:space="preserve">Se acogen los principios y actores propuestos con la salvedad de que en relación con la inclusión y funciones de los gestores de páramos será regulada conforme a lo establecido en la Ley 1930 de 2018 y la resolución 814 de 2026. No obstante lo anterior, en la resolución en el parágrafo 4 del artículo 4 se establece que toda organización que busque inscribirse como gestor de páramo o tenga interés en ello debe ser de carácter local. Así mismo, en la resolución se esclarece en su artículo 8 en relación con sus compromisos la necesidad de participar de manera activa y reportar la información requerida para garantizar los procesos de gestión integral del páramo y la correcta aplicación del posterior plan de manejo que se formule para el mismo. </w:t>
            </w:r>
            <w:r>
              <w:br/>
            </w:r>
            <w:r>
              <w:br/>
            </w:r>
            <w:r w:rsidRPr="1AB6159B">
              <w:rPr>
                <w:rFonts w:ascii="Arial Narrow" w:hAnsi="Arial Narrow" w:eastAsia="Arial Narrow" w:cs="Arial Narrow"/>
                <w:color w:val="000000" w:themeColor="text1"/>
              </w:rPr>
              <w:t xml:space="preserve">Así mismo, es de recordar que las veedurías ciudadanas son mecanismos de participación y control social creadas por los ciudadanos conforme a la Ley 850 de 2003, aunque el Ministerio de Ambiente y Desarrollo sostenible no puede crearlas o dirigirlas, no desconoce que el sistema de fiscalización podrá articular y facilitar el ejercicio de las veedurías ciudadanas que se constituyan conforme a la Ley 850 de 2003. </w:t>
            </w:r>
          </w:p>
        </w:tc>
        <w:tc>
          <w:tcPr>
            <w:tcW w:w="122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B61180" w:rsidP="00631238" w:rsidRDefault="00B61180" w14:paraId="25AEB62B" w14:textId="77777777">
            <w:pPr>
              <w:spacing w:after="0"/>
              <w:jc w:val="center"/>
            </w:pPr>
            <w:r w:rsidRPr="1AB6159B">
              <w:rPr>
                <w:rFonts w:ascii="Arial Narrow" w:hAnsi="Arial Narrow" w:eastAsia="Arial Narrow" w:cs="Arial Narrow"/>
                <w:color w:val="000000" w:themeColor="text1"/>
              </w:rPr>
              <w:t>Se acoge</w:t>
            </w:r>
          </w:p>
        </w:tc>
      </w:tr>
      <w:tr w:rsidR="00B61180" w:rsidTr="00B61180" w14:paraId="2C488B79" w14:textId="77777777">
        <w:trPr>
          <w:trHeight w:val="330"/>
        </w:trPr>
        <w:tc>
          <w:tcPr>
            <w:tcW w:w="1262" w:type="dxa"/>
            <w:tcBorders>
              <w:top w:val="nil"/>
              <w:left w:val="single" w:color="auto" w:sz="4" w:space="0"/>
              <w:bottom w:val="single" w:color="auto" w:sz="4" w:space="0"/>
              <w:right w:val="single" w:color="auto" w:sz="4" w:space="0"/>
            </w:tcBorders>
            <w:shd w:val="clear" w:color="auto" w:fill="DAF2D0"/>
            <w:tcMar>
              <w:top w:w="15" w:type="dxa"/>
              <w:left w:w="15" w:type="dxa"/>
              <w:right w:w="15" w:type="dxa"/>
            </w:tcMar>
            <w:vAlign w:val="center"/>
          </w:tcPr>
          <w:p w:rsidR="00B61180" w:rsidP="00631238" w:rsidRDefault="00B61180" w14:paraId="289FFEA1" w14:textId="77777777">
            <w:pPr>
              <w:spacing w:after="0"/>
            </w:pPr>
            <w:r w:rsidRPr="1AB6159B">
              <w:rPr>
                <w:rFonts w:ascii="Arial Narrow" w:hAnsi="Arial Narrow" w:eastAsia="Arial Narrow" w:cs="Arial Narrow"/>
                <w:b/>
                <w:bCs/>
                <w:color w:val="000000" w:themeColor="text1"/>
              </w:rPr>
              <w:t>Labateca (NS)</w:t>
            </w:r>
          </w:p>
        </w:tc>
        <w:tc>
          <w:tcPr>
            <w:tcW w:w="3668" w:type="dxa"/>
            <w:tcBorders>
              <w:top w:val="nil"/>
              <w:left w:val="single" w:color="auto" w:sz="4" w:space="0"/>
              <w:bottom w:val="single" w:color="auto" w:sz="4" w:space="0"/>
              <w:right w:val="single" w:color="auto" w:sz="4" w:space="0"/>
            </w:tcBorders>
            <w:tcMar>
              <w:top w:w="15" w:type="dxa"/>
              <w:left w:w="15" w:type="dxa"/>
              <w:right w:w="15" w:type="dxa"/>
            </w:tcMar>
            <w:vAlign w:val="center"/>
          </w:tcPr>
          <w:p w:rsidR="00B61180" w:rsidP="00631238" w:rsidRDefault="00B61180" w14:paraId="1CF839BC" w14:textId="77777777">
            <w:pPr>
              <w:spacing w:after="0"/>
              <w:jc w:val="center"/>
            </w:pPr>
            <w:r w:rsidRPr="1AB6159B">
              <w:rPr>
                <w:rFonts w:ascii="Arial Narrow" w:hAnsi="Arial Narrow" w:eastAsia="Arial Narrow" w:cs="Arial Narrow"/>
                <w:color w:val="000000" w:themeColor="text1"/>
              </w:rPr>
              <w:t>Sin acuerdos</w:t>
            </w:r>
          </w:p>
        </w:tc>
        <w:tc>
          <w:tcPr>
            <w:tcW w:w="2917"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B61180" w:rsidP="00631238" w:rsidRDefault="00B61180" w14:paraId="79CBB391" w14:textId="77777777">
            <w:pPr>
              <w:spacing w:after="0"/>
              <w:jc w:val="center"/>
            </w:pPr>
            <w:r w:rsidRPr="1AB6159B">
              <w:rPr>
                <w:rFonts w:ascii="Arial Narrow" w:hAnsi="Arial Narrow" w:eastAsia="Arial Narrow" w:cs="Arial Narrow"/>
                <w:color w:val="000000" w:themeColor="text1"/>
              </w:rPr>
              <w:t>No aplica</w:t>
            </w:r>
          </w:p>
        </w:tc>
        <w:tc>
          <w:tcPr>
            <w:tcW w:w="122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B61180" w:rsidP="00631238" w:rsidRDefault="00B61180" w14:paraId="16B4AC74" w14:textId="77777777">
            <w:pPr>
              <w:spacing w:after="0"/>
              <w:jc w:val="center"/>
            </w:pPr>
            <w:r w:rsidRPr="1AB6159B">
              <w:rPr>
                <w:rFonts w:ascii="Arial Narrow" w:hAnsi="Arial Narrow" w:eastAsia="Arial Narrow" w:cs="Arial Narrow"/>
                <w:color w:val="000000" w:themeColor="text1"/>
              </w:rPr>
              <w:t xml:space="preserve">No aplica </w:t>
            </w:r>
          </w:p>
        </w:tc>
      </w:tr>
      <w:tr w:rsidR="00B61180" w:rsidTr="00B61180" w14:paraId="7C63C7D6" w14:textId="77777777">
        <w:trPr>
          <w:trHeight w:val="330"/>
        </w:trPr>
        <w:tc>
          <w:tcPr>
            <w:tcW w:w="1262" w:type="dxa"/>
            <w:tcBorders>
              <w:top w:val="single" w:color="auto" w:sz="4" w:space="0"/>
              <w:left w:val="single" w:color="auto" w:sz="4" w:space="0"/>
              <w:bottom w:val="single" w:color="000000" w:themeColor="text1" w:sz="4" w:space="0"/>
              <w:right w:val="single" w:color="auto" w:sz="4" w:space="0"/>
            </w:tcBorders>
            <w:shd w:val="clear" w:color="auto" w:fill="DAF2D0"/>
            <w:tcMar>
              <w:top w:w="15" w:type="dxa"/>
              <w:left w:w="15" w:type="dxa"/>
              <w:right w:w="15" w:type="dxa"/>
            </w:tcMar>
            <w:vAlign w:val="center"/>
          </w:tcPr>
          <w:p w:rsidR="00B61180" w:rsidP="00631238" w:rsidRDefault="00B61180" w14:paraId="761B76AC" w14:textId="77777777">
            <w:pPr>
              <w:spacing w:after="0"/>
            </w:pPr>
            <w:r w:rsidRPr="1AB6159B">
              <w:rPr>
                <w:rFonts w:ascii="Arial Narrow" w:hAnsi="Arial Narrow" w:eastAsia="Arial Narrow" w:cs="Arial Narrow"/>
                <w:b/>
                <w:bCs/>
                <w:color w:val="000000" w:themeColor="text1"/>
              </w:rPr>
              <w:t>Guaca (S)</w:t>
            </w:r>
          </w:p>
        </w:tc>
        <w:tc>
          <w:tcPr>
            <w:tcW w:w="3668" w:type="dxa"/>
            <w:tcBorders>
              <w:top w:val="single" w:color="auto" w:sz="4" w:space="0"/>
              <w:left w:val="single" w:color="auto" w:sz="4" w:space="0"/>
              <w:bottom w:val="single" w:color="000000" w:themeColor="text1" w:sz="4" w:space="0"/>
              <w:right w:val="single" w:color="auto" w:sz="4" w:space="0"/>
            </w:tcBorders>
            <w:tcMar>
              <w:top w:w="15" w:type="dxa"/>
              <w:left w:w="15" w:type="dxa"/>
              <w:right w:w="15" w:type="dxa"/>
            </w:tcMar>
            <w:vAlign w:val="center"/>
          </w:tcPr>
          <w:p w:rsidR="00B61180" w:rsidP="00631238" w:rsidRDefault="00B61180" w14:paraId="16A49CE6" w14:textId="77777777">
            <w:pPr>
              <w:spacing w:after="0"/>
              <w:jc w:val="center"/>
            </w:pPr>
            <w:r w:rsidRPr="1AB6159B">
              <w:rPr>
                <w:rFonts w:ascii="Arial Narrow" w:hAnsi="Arial Narrow" w:eastAsia="Arial Narrow" w:cs="Arial Narrow"/>
                <w:color w:val="000000" w:themeColor="text1"/>
              </w:rPr>
              <w:t>Sin acuerdos</w:t>
            </w:r>
          </w:p>
        </w:tc>
        <w:tc>
          <w:tcPr>
            <w:tcW w:w="2917"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B61180" w:rsidP="00631238" w:rsidRDefault="00B61180" w14:paraId="4423D322" w14:textId="77777777">
            <w:pPr>
              <w:spacing w:after="0"/>
              <w:jc w:val="center"/>
            </w:pPr>
            <w:r w:rsidRPr="1AB6159B">
              <w:rPr>
                <w:rFonts w:ascii="Arial Narrow" w:hAnsi="Arial Narrow" w:eastAsia="Arial Narrow" w:cs="Arial Narrow"/>
                <w:color w:val="000000" w:themeColor="text1"/>
              </w:rPr>
              <w:t>No aplica</w:t>
            </w:r>
          </w:p>
        </w:tc>
        <w:tc>
          <w:tcPr>
            <w:tcW w:w="122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B61180" w:rsidP="00631238" w:rsidRDefault="00B61180" w14:paraId="2D67A64E" w14:textId="77777777">
            <w:pPr>
              <w:spacing w:after="0"/>
              <w:jc w:val="center"/>
            </w:pPr>
            <w:r w:rsidRPr="1AB6159B">
              <w:rPr>
                <w:rFonts w:ascii="Arial Narrow" w:hAnsi="Arial Narrow" w:eastAsia="Arial Narrow" w:cs="Arial Narrow"/>
                <w:color w:val="000000" w:themeColor="text1"/>
              </w:rPr>
              <w:t xml:space="preserve">No aplica </w:t>
            </w:r>
          </w:p>
        </w:tc>
      </w:tr>
      <w:tr w:rsidR="00B61180" w:rsidTr="00B61180" w14:paraId="0D12E8CE" w14:textId="77777777">
        <w:trPr>
          <w:trHeight w:val="330"/>
        </w:trPr>
        <w:tc>
          <w:tcPr>
            <w:tcW w:w="1262" w:type="dxa"/>
            <w:tcBorders>
              <w:top w:val="single" w:color="auto" w:sz="4" w:space="0"/>
              <w:left w:val="single" w:color="auto" w:sz="4" w:space="0"/>
              <w:bottom w:val="single" w:color="auto" w:sz="4" w:space="0"/>
              <w:right w:val="single" w:color="auto" w:sz="4" w:space="0"/>
            </w:tcBorders>
            <w:shd w:val="clear" w:color="auto" w:fill="DAF2D0"/>
            <w:tcMar>
              <w:top w:w="15" w:type="dxa"/>
              <w:left w:w="15" w:type="dxa"/>
              <w:right w:w="15" w:type="dxa"/>
            </w:tcMar>
            <w:vAlign w:val="center"/>
          </w:tcPr>
          <w:p w:rsidR="00B61180" w:rsidP="00631238" w:rsidRDefault="00B61180" w14:paraId="1AF66437" w14:textId="77777777">
            <w:pPr>
              <w:spacing w:after="0"/>
            </w:pPr>
            <w:r w:rsidRPr="1AB6159B">
              <w:rPr>
                <w:rFonts w:ascii="Arial Narrow" w:hAnsi="Arial Narrow" w:eastAsia="Arial Narrow" w:cs="Arial Narrow"/>
                <w:b/>
                <w:bCs/>
                <w:color w:val="000000" w:themeColor="text1"/>
              </w:rPr>
              <w:t>Santa Bárbara (S)</w:t>
            </w:r>
          </w:p>
        </w:tc>
        <w:tc>
          <w:tcPr>
            <w:tcW w:w="366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B61180" w:rsidP="00631238" w:rsidRDefault="00B61180" w14:paraId="796F550A" w14:textId="77777777">
            <w:pPr>
              <w:spacing w:after="0"/>
              <w:jc w:val="center"/>
            </w:pPr>
            <w:r w:rsidRPr="1AB6159B">
              <w:rPr>
                <w:rFonts w:ascii="Arial Narrow" w:hAnsi="Arial Narrow" w:eastAsia="Arial Narrow" w:cs="Arial Narrow"/>
                <w:color w:val="000000" w:themeColor="text1"/>
              </w:rPr>
              <w:t>Sin acuerdos</w:t>
            </w:r>
          </w:p>
        </w:tc>
        <w:tc>
          <w:tcPr>
            <w:tcW w:w="2917"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B61180" w:rsidP="00631238" w:rsidRDefault="00B61180" w14:paraId="3F1E5047" w14:textId="77777777">
            <w:pPr>
              <w:spacing w:after="0"/>
              <w:jc w:val="center"/>
            </w:pPr>
            <w:r w:rsidRPr="1AB6159B">
              <w:rPr>
                <w:rFonts w:ascii="Arial Narrow" w:hAnsi="Arial Narrow" w:eastAsia="Arial Narrow" w:cs="Arial Narrow"/>
                <w:color w:val="000000" w:themeColor="text1"/>
              </w:rPr>
              <w:t>No aplica</w:t>
            </w:r>
          </w:p>
        </w:tc>
        <w:tc>
          <w:tcPr>
            <w:tcW w:w="122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B61180" w:rsidP="00631238" w:rsidRDefault="00B61180" w14:paraId="08FA8026" w14:textId="77777777">
            <w:pPr>
              <w:spacing w:after="0"/>
              <w:jc w:val="center"/>
            </w:pPr>
            <w:r w:rsidRPr="1AB6159B">
              <w:rPr>
                <w:rFonts w:ascii="Arial Narrow" w:hAnsi="Arial Narrow" w:eastAsia="Arial Narrow" w:cs="Arial Narrow"/>
                <w:color w:val="000000" w:themeColor="text1"/>
              </w:rPr>
              <w:t xml:space="preserve">No aplica </w:t>
            </w:r>
          </w:p>
        </w:tc>
      </w:tr>
      <w:tr w:rsidR="00B61180" w:rsidTr="00B61180" w14:paraId="41F16144" w14:textId="77777777">
        <w:trPr>
          <w:trHeight w:val="330"/>
        </w:trPr>
        <w:tc>
          <w:tcPr>
            <w:tcW w:w="1262" w:type="dxa"/>
            <w:tcBorders>
              <w:top w:val="single" w:color="auto" w:sz="4" w:space="0"/>
              <w:left w:val="single" w:color="auto" w:sz="4" w:space="0"/>
              <w:bottom w:val="single" w:color="auto" w:sz="4" w:space="0"/>
              <w:right w:val="single" w:color="auto" w:sz="4" w:space="0"/>
            </w:tcBorders>
            <w:shd w:val="clear" w:color="auto" w:fill="DAF2D0"/>
            <w:tcMar>
              <w:top w:w="15" w:type="dxa"/>
              <w:left w:w="15" w:type="dxa"/>
              <w:right w:w="15" w:type="dxa"/>
            </w:tcMar>
            <w:vAlign w:val="center"/>
          </w:tcPr>
          <w:p w:rsidR="00B61180" w:rsidP="00631238" w:rsidRDefault="00B61180" w14:paraId="2979E6C0" w14:textId="77777777">
            <w:pPr>
              <w:spacing w:after="0"/>
            </w:pPr>
            <w:r w:rsidRPr="1AB6159B">
              <w:rPr>
                <w:rFonts w:ascii="Arial Narrow" w:hAnsi="Arial Narrow" w:eastAsia="Arial Narrow" w:cs="Arial Narrow"/>
                <w:b/>
                <w:bCs/>
                <w:color w:val="000000" w:themeColor="text1"/>
              </w:rPr>
              <w:t>Cácota (NS)</w:t>
            </w:r>
          </w:p>
        </w:tc>
        <w:tc>
          <w:tcPr>
            <w:tcW w:w="366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B61180" w:rsidP="00631238" w:rsidRDefault="00B61180" w14:paraId="44962B44" w14:textId="77777777">
            <w:pPr>
              <w:spacing w:after="0"/>
              <w:jc w:val="center"/>
            </w:pPr>
            <w:r w:rsidRPr="1AB6159B">
              <w:rPr>
                <w:rFonts w:ascii="Arial Narrow" w:hAnsi="Arial Narrow" w:eastAsia="Arial Narrow" w:cs="Arial Narrow"/>
                <w:color w:val="000000" w:themeColor="text1"/>
              </w:rPr>
              <w:t>Sin acuerdos</w:t>
            </w:r>
          </w:p>
        </w:tc>
        <w:tc>
          <w:tcPr>
            <w:tcW w:w="2917"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B61180" w:rsidP="00631238" w:rsidRDefault="00B61180" w14:paraId="5006AF89" w14:textId="77777777">
            <w:pPr>
              <w:spacing w:after="0"/>
              <w:jc w:val="center"/>
            </w:pPr>
            <w:r w:rsidRPr="1AB6159B">
              <w:rPr>
                <w:rFonts w:ascii="Arial Narrow" w:hAnsi="Arial Narrow" w:eastAsia="Arial Narrow" w:cs="Arial Narrow"/>
                <w:color w:val="000000" w:themeColor="text1"/>
              </w:rPr>
              <w:t>No aplica</w:t>
            </w:r>
          </w:p>
        </w:tc>
        <w:tc>
          <w:tcPr>
            <w:tcW w:w="122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0B61180" w:rsidP="00631238" w:rsidRDefault="00B61180" w14:paraId="2B8900D3" w14:textId="77777777">
            <w:pPr>
              <w:spacing w:after="0"/>
              <w:jc w:val="center"/>
            </w:pPr>
            <w:r w:rsidRPr="1AB6159B">
              <w:rPr>
                <w:rFonts w:ascii="Arial Narrow" w:hAnsi="Arial Narrow" w:eastAsia="Arial Narrow" w:cs="Arial Narrow"/>
                <w:color w:val="000000" w:themeColor="text1"/>
              </w:rPr>
              <w:t>No aplica</w:t>
            </w:r>
          </w:p>
        </w:tc>
      </w:tr>
    </w:tbl>
    <w:p w:rsidR="00B61180" w:rsidP="00B61180" w:rsidRDefault="00B61180" w14:paraId="642D3389" w14:textId="77777777">
      <w:pPr>
        <w:jc w:val="both"/>
        <w:rPr>
          <w:rFonts w:ascii="Arial" w:hAnsi="Arial" w:cs="Arial"/>
          <w:sz w:val="24"/>
          <w:szCs w:val="24"/>
        </w:rPr>
      </w:pPr>
    </w:p>
    <w:p w:rsidRPr="00DD7C0F" w:rsidR="00B61180" w:rsidP="00B61180" w:rsidRDefault="00B61180" w14:paraId="351EF3B3" w14:textId="77777777">
      <w:pPr>
        <w:jc w:val="both"/>
        <w:rPr>
          <w:rFonts w:ascii="Arial" w:hAnsi="Arial" w:cs="Arial"/>
          <w:sz w:val="24"/>
          <w:szCs w:val="24"/>
          <w:lang w:val="es-ES"/>
        </w:rPr>
      </w:pPr>
      <w:r w:rsidRPr="00DD7C0F">
        <w:rPr>
          <w:rFonts w:ascii="Arial" w:hAnsi="Arial" w:cs="Arial"/>
          <w:sz w:val="24"/>
          <w:szCs w:val="24"/>
        </w:rPr>
        <w:t>Este ejercicio permitió fortalecer el diseño del Sistema de Fiscalización y garantizar que las decisiones adoptadas fueran el resultado de un proceso de diálogo, deliberación y valoración motivada, materializando el principio de participación con incidencia real desarrollado por la Sentencia T-361 de 2017. </w:t>
      </w:r>
      <w:r w:rsidRPr="00DD7C0F">
        <w:rPr>
          <w:rFonts w:ascii="Arial" w:hAnsi="Arial" w:cs="Arial"/>
          <w:sz w:val="24"/>
          <w:szCs w:val="24"/>
          <w:lang w:val="es-ES"/>
        </w:rPr>
        <w:t> </w:t>
      </w:r>
    </w:p>
    <w:p w:rsidRPr="00DD7C0F" w:rsidR="00B61180" w:rsidP="00B61180" w:rsidRDefault="00B61180" w14:paraId="7F77E733" w14:textId="77777777">
      <w:pPr>
        <w:jc w:val="both"/>
        <w:rPr>
          <w:rFonts w:ascii="Arial" w:hAnsi="Arial" w:cs="Arial"/>
          <w:sz w:val="24"/>
          <w:szCs w:val="24"/>
          <w:lang w:val="es-ES"/>
        </w:rPr>
      </w:pPr>
      <w:r w:rsidRPr="00DD7C0F">
        <w:rPr>
          <w:rFonts w:ascii="Arial" w:hAnsi="Arial" w:cs="Arial"/>
          <w:sz w:val="24"/>
          <w:szCs w:val="24"/>
        </w:rPr>
        <w:t>Es así como, tras las jornadas y a manera de resumen de lo explicado en el capítulo 1, el sistema se define como el conjunto de actores, principios, deberes, responsabilidades y mecanismos de acción y coordinación entre los órganos responsables de la fiscalización, que tiene como objetivo de verificar, el cumplimiento de las disposiciones de la resolución de delimitación del complejo de páramos jurisdicción Santurbán-Berlín.</w:t>
      </w:r>
      <w:r w:rsidRPr="00DD7C0F">
        <w:rPr>
          <w:rFonts w:ascii="Arial" w:hAnsi="Arial" w:cs="Arial"/>
          <w:sz w:val="24"/>
          <w:szCs w:val="24"/>
          <w:lang w:val="es-ES"/>
        </w:rPr>
        <w:t> </w:t>
      </w:r>
    </w:p>
    <w:p w:rsidRPr="00DD7C0F" w:rsidR="00B61180" w:rsidP="00B61180" w:rsidRDefault="00B61180" w14:paraId="35ED932D" w14:textId="77777777">
      <w:pPr>
        <w:jc w:val="both"/>
        <w:rPr>
          <w:rFonts w:ascii="Arial" w:hAnsi="Arial" w:cs="Arial"/>
          <w:sz w:val="24"/>
          <w:szCs w:val="24"/>
          <w:lang w:val="es-ES"/>
        </w:rPr>
      </w:pPr>
      <w:r w:rsidRPr="00DD7C0F">
        <w:rPr>
          <w:rFonts w:ascii="Arial" w:hAnsi="Arial" w:cs="Arial"/>
          <w:sz w:val="24"/>
          <w:szCs w:val="24"/>
        </w:rPr>
        <w:t>Es guiado por dieciséis (16) principios:</w:t>
      </w:r>
      <w:r w:rsidRPr="00DD7C0F">
        <w:rPr>
          <w:rFonts w:ascii="Arial" w:hAnsi="Arial" w:cs="Arial"/>
          <w:sz w:val="24"/>
          <w:szCs w:val="24"/>
          <w:lang w:val="es-ES"/>
        </w:rPr>
        <w:t> </w:t>
      </w:r>
    </w:p>
    <w:p w:rsidRPr="00DD7C0F" w:rsidR="00B61180" w:rsidP="00B61180" w:rsidRDefault="00B61180" w14:paraId="763404BA" w14:textId="77777777">
      <w:pPr>
        <w:numPr>
          <w:ilvl w:val="0"/>
          <w:numId w:val="46"/>
        </w:numPr>
        <w:spacing w:after="0"/>
        <w:jc w:val="both"/>
        <w:rPr>
          <w:rFonts w:ascii="Arial" w:hAnsi="Arial" w:cs="Arial"/>
          <w:sz w:val="24"/>
          <w:szCs w:val="24"/>
          <w:lang w:val="es-ES"/>
        </w:rPr>
      </w:pPr>
      <w:r w:rsidRPr="00DD7C0F">
        <w:rPr>
          <w:rFonts w:ascii="Arial" w:hAnsi="Arial" w:cs="Arial"/>
          <w:sz w:val="24"/>
          <w:szCs w:val="24"/>
        </w:rPr>
        <w:t>Principio de concurrencia</w:t>
      </w:r>
      <w:r w:rsidRPr="00DD7C0F">
        <w:rPr>
          <w:rFonts w:ascii="Arial" w:hAnsi="Arial" w:cs="Arial"/>
          <w:sz w:val="24"/>
          <w:szCs w:val="24"/>
          <w:lang w:val="es-ES"/>
        </w:rPr>
        <w:t> </w:t>
      </w:r>
    </w:p>
    <w:p w:rsidRPr="00DD7C0F" w:rsidR="00B61180" w:rsidP="00B61180" w:rsidRDefault="00B61180" w14:paraId="44A65C8A" w14:textId="77777777">
      <w:pPr>
        <w:numPr>
          <w:ilvl w:val="0"/>
          <w:numId w:val="47"/>
        </w:numPr>
        <w:spacing w:after="0"/>
        <w:jc w:val="both"/>
        <w:rPr>
          <w:rFonts w:ascii="Arial" w:hAnsi="Arial" w:cs="Arial"/>
          <w:sz w:val="24"/>
          <w:szCs w:val="24"/>
          <w:lang w:val="es-ES"/>
        </w:rPr>
      </w:pPr>
      <w:r w:rsidRPr="00DD7C0F">
        <w:rPr>
          <w:rFonts w:ascii="Arial" w:hAnsi="Arial" w:cs="Arial"/>
          <w:sz w:val="24"/>
          <w:szCs w:val="24"/>
        </w:rPr>
        <w:t>Principio de Integración</w:t>
      </w:r>
      <w:r w:rsidRPr="00DD7C0F">
        <w:rPr>
          <w:rFonts w:ascii="Arial" w:hAnsi="Arial" w:cs="Arial"/>
          <w:sz w:val="24"/>
          <w:szCs w:val="24"/>
          <w:lang w:val="es-ES"/>
        </w:rPr>
        <w:t> </w:t>
      </w:r>
    </w:p>
    <w:p w:rsidRPr="00DD7C0F" w:rsidR="00B61180" w:rsidP="00B61180" w:rsidRDefault="00B61180" w14:paraId="3D38F579" w14:textId="77777777">
      <w:pPr>
        <w:numPr>
          <w:ilvl w:val="0"/>
          <w:numId w:val="48"/>
        </w:numPr>
        <w:spacing w:after="0"/>
        <w:jc w:val="both"/>
        <w:rPr>
          <w:rFonts w:ascii="Arial" w:hAnsi="Arial" w:cs="Arial"/>
          <w:sz w:val="24"/>
          <w:szCs w:val="24"/>
          <w:lang w:val="es-ES"/>
        </w:rPr>
      </w:pPr>
      <w:r w:rsidRPr="00DD7C0F">
        <w:rPr>
          <w:rFonts w:ascii="Arial" w:hAnsi="Arial" w:cs="Arial"/>
          <w:sz w:val="24"/>
          <w:szCs w:val="24"/>
        </w:rPr>
        <w:t>Principio Democrático y de Participación Ciudadana</w:t>
      </w:r>
      <w:r w:rsidRPr="00DD7C0F">
        <w:rPr>
          <w:rFonts w:ascii="Arial" w:hAnsi="Arial" w:cs="Arial"/>
          <w:sz w:val="24"/>
          <w:szCs w:val="24"/>
          <w:lang w:val="es-ES"/>
        </w:rPr>
        <w:t> </w:t>
      </w:r>
    </w:p>
    <w:p w:rsidRPr="00DD7C0F" w:rsidR="00B61180" w:rsidP="00B61180" w:rsidRDefault="00B61180" w14:paraId="4D2DE68B" w14:textId="77777777">
      <w:pPr>
        <w:numPr>
          <w:ilvl w:val="0"/>
          <w:numId w:val="49"/>
        </w:numPr>
        <w:spacing w:after="0"/>
        <w:jc w:val="both"/>
        <w:rPr>
          <w:rFonts w:ascii="Arial" w:hAnsi="Arial" w:cs="Arial"/>
          <w:sz w:val="24"/>
          <w:szCs w:val="24"/>
          <w:lang w:val="es-ES"/>
        </w:rPr>
      </w:pPr>
      <w:r w:rsidRPr="00DD7C0F">
        <w:rPr>
          <w:rFonts w:ascii="Arial" w:hAnsi="Arial" w:cs="Arial"/>
          <w:sz w:val="24"/>
          <w:szCs w:val="24"/>
        </w:rPr>
        <w:t>Principio de Solidaridad</w:t>
      </w:r>
      <w:r w:rsidRPr="00DD7C0F">
        <w:rPr>
          <w:rFonts w:ascii="Arial" w:hAnsi="Arial" w:cs="Arial"/>
          <w:sz w:val="24"/>
          <w:szCs w:val="24"/>
          <w:lang w:val="es-ES"/>
        </w:rPr>
        <w:t> </w:t>
      </w:r>
    </w:p>
    <w:p w:rsidRPr="00DD7C0F" w:rsidR="00B61180" w:rsidP="00B61180" w:rsidRDefault="00B61180" w14:paraId="74F23630" w14:textId="77777777">
      <w:pPr>
        <w:numPr>
          <w:ilvl w:val="0"/>
          <w:numId w:val="50"/>
        </w:numPr>
        <w:spacing w:after="0"/>
        <w:jc w:val="both"/>
        <w:rPr>
          <w:rFonts w:ascii="Arial" w:hAnsi="Arial" w:cs="Arial"/>
          <w:sz w:val="24"/>
          <w:szCs w:val="24"/>
          <w:lang w:val="es-ES"/>
        </w:rPr>
      </w:pPr>
      <w:r w:rsidRPr="00DD7C0F">
        <w:rPr>
          <w:rFonts w:ascii="Arial" w:hAnsi="Arial" w:cs="Arial"/>
          <w:sz w:val="24"/>
          <w:szCs w:val="24"/>
        </w:rPr>
        <w:t>Principio de Equidad</w:t>
      </w:r>
      <w:r w:rsidRPr="00DD7C0F">
        <w:rPr>
          <w:rFonts w:ascii="Arial" w:hAnsi="Arial" w:cs="Arial"/>
          <w:sz w:val="24"/>
          <w:szCs w:val="24"/>
          <w:lang w:val="es-ES"/>
        </w:rPr>
        <w:t> </w:t>
      </w:r>
    </w:p>
    <w:p w:rsidRPr="00DD7C0F" w:rsidR="00B61180" w:rsidP="00B61180" w:rsidRDefault="00B61180" w14:paraId="0B15CB86" w14:textId="77777777">
      <w:pPr>
        <w:numPr>
          <w:ilvl w:val="0"/>
          <w:numId w:val="51"/>
        </w:numPr>
        <w:spacing w:after="0"/>
        <w:jc w:val="both"/>
        <w:rPr>
          <w:rFonts w:ascii="Arial" w:hAnsi="Arial" w:cs="Arial"/>
          <w:sz w:val="24"/>
          <w:szCs w:val="24"/>
          <w:lang w:val="es-ES"/>
        </w:rPr>
      </w:pPr>
      <w:r w:rsidRPr="00DD7C0F">
        <w:rPr>
          <w:rFonts w:ascii="Arial" w:hAnsi="Arial" w:cs="Arial"/>
          <w:sz w:val="24"/>
          <w:szCs w:val="24"/>
        </w:rPr>
        <w:t>Principio de Gradualidad y Flexibilidad</w:t>
      </w:r>
      <w:r w:rsidRPr="00DD7C0F">
        <w:rPr>
          <w:rFonts w:ascii="Arial" w:hAnsi="Arial" w:cs="Arial"/>
          <w:sz w:val="24"/>
          <w:szCs w:val="24"/>
          <w:lang w:val="es-ES"/>
        </w:rPr>
        <w:t> </w:t>
      </w:r>
    </w:p>
    <w:p w:rsidRPr="00DD7C0F" w:rsidR="00B61180" w:rsidP="00B61180" w:rsidRDefault="00B61180" w14:paraId="5E2D7F5D" w14:textId="77777777">
      <w:pPr>
        <w:numPr>
          <w:ilvl w:val="0"/>
          <w:numId w:val="52"/>
        </w:numPr>
        <w:spacing w:after="0"/>
        <w:jc w:val="both"/>
        <w:rPr>
          <w:rFonts w:ascii="Arial" w:hAnsi="Arial" w:cs="Arial"/>
          <w:sz w:val="24"/>
          <w:szCs w:val="24"/>
          <w:lang w:val="es-ES"/>
        </w:rPr>
      </w:pPr>
      <w:r w:rsidRPr="00DD7C0F">
        <w:rPr>
          <w:rFonts w:ascii="Arial" w:hAnsi="Arial" w:cs="Arial"/>
          <w:sz w:val="24"/>
          <w:szCs w:val="24"/>
        </w:rPr>
        <w:t>Principio de Responsabilidad</w:t>
      </w:r>
      <w:r w:rsidRPr="00DD7C0F">
        <w:rPr>
          <w:rFonts w:ascii="Arial" w:hAnsi="Arial" w:cs="Arial"/>
          <w:sz w:val="24"/>
          <w:szCs w:val="24"/>
          <w:lang w:val="es-ES"/>
        </w:rPr>
        <w:t> </w:t>
      </w:r>
    </w:p>
    <w:p w:rsidRPr="00DD7C0F" w:rsidR="00B61180" w:rsidP="00B61180" w:rsidRDefault="00B61180" w14:paraId="127BE8A8" w14:textId="77777777">
      <w:pPr>
        <w:numPr>
          <w:ilvl w:val="0"/>
          <w:numId w:val="53"/>
        </w:numPr>
        <w:spacing w:after="0"/>
        <w:jc w:val="both"/>
        <w:rPr>
          <w:rFonts w:ascii="Arial" w:hAnsi="Arial" w:cs="Arial"/>
          <w:sz w:val="24"/>
          <w:szCs w:val="24"/>
          <w:lang w:val="es-ES"/>
        </w:rPr>
      </w:pPr>
      <w:r w:rsidRPr="00DD7C0F">
        <w:rPr>
          <w:rFonts w:ascii="Arial" w:hAnsi="Arial" w:cs="Arial"/>
          <w:sz w:val="24"/>
          <w:szCs w:val="24"/>
        </w:rPr>
        <w:t>Principio de Corresponsabilidad</w:t>
      </w:r>
      <w:r w:rsidRPr="00DD7C0F">
        <w:rPr>
          <w:rFonts w:ascii="Arial" w:hAnsi="Arial" w:cs="Arial"/>
          <w:sz w:val="24"/>
          <w:szCs w:val="24"/>
          <w:lang w:val="es-ES"/>
        </w:rPr>
        <w:t> </w:t>
      </w:r>
    </w:p>
    <w:p w:rsidRPr="00DD7C0F" w:rsidR="00B61180" w:rsidP="00B61180" w:rsidRDefault="00B61180" w14:paraId="36992EA7" w14:textId="77777777">
      <w:pPr>
        <w:numPr>
          <w:ilvl w:val="0"/>
          <w:numId w:val="54"/>
        </w:numPr>
        <w:spacing w:after="0"/>
        <w:jc w:val="both"/>
        <w:rPr>
          <w:rFonts w:ascii="Arial" w:hAnsi="Arial" w:cs="Arial"/>
          <w:sz w:val="24"/>
          <w:szCs w:val="24"/>
          <w:lang w:val="es-ES"/>
        </w:rPr>
      </w:pPr>
      <w:r w:rsidRPr="00DD7C0F">
        <w:rPr>
          <w:rFonts w:ascii="Arial" w:hAnsi="Arial" w:cs="Arial"/>
          <w:sz w:val="24"/>
          <w:szCs w:val="24"/>
        </w:rPr>
        <w:t>Principio de Transparencia</w:t>
      </w:r>
      <w:r w:rsidRPr="00DD7C0F">
        <w:rPr>
          <w:rFonts w:ascii="Arial" w:hAnsi="Arial" w:cs="Arial"/>
          <w:sz w:val="24"/>
          <w:szCs w:val="24"/>
          <w:lang w:val="es-ES"/>
        </w:rPr>
        <w:t> </w:t>
      </w:r>
    </w:p>
    <w:p w:rsidRPr="00DD7C0F" w:rsidR="00B61180" w:rsidP="00B61180" w:rsidRDefault="00B61180" w14:paraId="2D9F8A4C" w14:textId="77777777">
      <w:pPr>
        <w:numPr>
          <w:ilvl w:val="0"/>
          <w:numId w:val="55"/>
        </w:numPr>
        <w:spacing w:after="0"/>
        <w:jc w:val="both"/>
        <w:rPr>
          <w:rFonts w:ascii="Arial" w:hAnsi="Arial" w:cs="Arial"/>
          <w:sz w:val="24"/>
          <w:szCs w:val="24"/>
          <w:lang w:val="es-ES"/>
        </w:rPr>
      </w:pPr>
      <w:r w:rsidRPr="00DD7C0F">
        <w:rPr>
          <w:rFonts w:ascii="Arial" w:hAnsi="Arial" w:cs="Arial"/>
          <w:sz w:val="24"/>
          <w:szCs w:val="24"/>
        </w:rPr>
        <w:t>Principio de Economía y Buen Gobierno</w:t>
      </w:r>
      <w:r w:rsidRPr="00DD7C0F">
        <w:rPr>
          <w:rFonts w:ascii="Arial" w:hAnsi="Arial" w:cs="Arial"/>
          <w:sz w:val="24"/>
          <w:szCs w:val="24"/>
          <w:lang w:val="es-ES"/>
        </w:rPr>
        <w:t> </w:t>
      </w:r>
    </w:p>
    <w:p w:rsidRPr="00DD7C0F" w:rsidR="00B61180" w:rsidP="00B61180" w:rsidRDefault="00B61180" w14:paraId="5C893FFA" w14:textId="77777777">
      <w:pPr>
        <w:numPr>
          <w:ilvl w:val="0"/>
          <w:numId w:val="56"/>
        </w:numPr>
        <w:spacing w:after="0"/>
        <w:jc w:val="both"/>
        <w:rPr>
          <w:rFonts w:ascii="Arial" w:hAnsi="Arial" w:cs="Arial"/>
          <w:sz w:val="24"/>
          <w:szCs w:val="24"/>
          <w:lang w:val="es-ES"/>
        </w:rPr>
      </w:pPr>
      <w:r w:rsidRPr="00DD7C0F">
        <w:rPr>
          <w:rFonts w:ascii="Arial" w:hAnsi="Arial" w:cs="Arial"/>
          <w:sz w:val="24"/>
          <w:szCs w:val="24"/>
        </w:rPr>
        <w:t>Principio de Continuidad</w:t>
      </w:r>
      <w:r w:rsidRPr="00DD7C0F">
        <w:rPr>
          <w:rFonts w:ascii="Arial" w:hAnsi="Arial" w:cs="Arial"/>
          <w:sz w:val="24"/>
          <w:szCs w:val="24"/>
          <w:lang w:val="es-ES"/>
        </w:rPr>
        <w:t> </w:t>
      </w:r>
    </w:p>
    <w:p w:rsidRPr="00DD7C0F" w:rsidR="00B61180" w:rsidP="00B61180" w:rsidRDefault="00B61180" w14:paraId="186846C5" w14:textId="77777777">
      <w:pPr>
        <w:numPr>
          <w:ilvl w:val="0"/>
          <w:numId w:val="57"/>
        </w:numPr>
        <w:spacing w:after="0"/>
        <w:jc w:val="both"/>
        <w:rPr>
          <w:rFonts w:ascii="Arial" w:hAnsi="Arial" w:cs="Arial"/>
          <w:sz w:val="24"/>
          <w:szCs w:val="24"/>
          <w:lang w:val="es-ES"/>
        </w:rPr>
      </w:pPr>
      <w:r w:rsidRPr="00DD7C0F">
        <w:rPr>
          <w:rFonts w:ascii="Arial" w:hAnsi="Arial" w:cs="Arial"/>
          <w:sz w:val="24"/>
          <w:szCs w:val="24"/>
        </w:rPr>
        <w:t>Principio de Veracidad</w:t>
      </w:r>
      <w:r w:rsidRPr="00DD7C0F">
        <w:rPr>
          <w:rFonts w:ascii="Arial" w:hAnsi="Arial" w:cs="Arial"/>
          <w:sz w:val="24"/>
          <w:szCs w:val="24"/>
          <w:lang w:val="es-ES"/>
        </w:rPr>
        <w:t> </w:t>
      </w:r>
    </w:p>
    <w:p w:rsidRPr="00DD7C0F" w:rsidR="00B61180" w:rsidP="00B61180" w:rsidRDefault="00B61180" w14:paraId="736FAB16" w14:textId="77777777">
      <w:pPr>
        <w:numPr>
          <w:ilvl w:val="0"/>
          <w:numId w:val="58"/>
        </w:numPr>
        <w:spacing w:after="0"/>
        <w:jc w:val="both"/>
        <w:rPr>
          <w:rFonts w:ascii="Arial" w:hAnsi="Arial" w:cs="Arial"/>
          <w:sz w:val="24"/>
          <w:szCs w:val="24"/>
          <w:lang w:val="es-ES"/>
        </w:rPr>
      </w:pPr>
      <w:r w:rsidRPr="00DD7C0F">
        <w:rPr>
          <w:rFonts w:ascii="Arial" w:hAnsi="Arial" w:cs="Arial"/>
          <w:sz w:val="24"/>
          <w:szCs w:val="24"/>
        </w:rPr>
        <w:t>Principio de articulación y coordinación</w:t>
      </w:r>
      <w:r w:rsidRPr="00DD7C0F">
        <w:rPr>
          <w:rFonts w:ascii="Arial" w:hAnsi="Arial" w:cs="Arial"/>
          <w:sz w:val="24"/>
          <w:szCs w:val="24"/>
          <w:lang w:val="es-ES"/>
        </w:rPr>
        <w:t> </w:t>
      </w:r>
    </w:p>
    <w:p w:rsidRPr="00DD7C0F" w:rsidR="00B61180" w:rsidP="00B61180" w:rsidRDefault="00B61180" w14:paraId="1E035BB0" w14:textId="77777777">
      <w:pPr>
        <w:numPr>
          <w:ilvl w:val="0"/>
          <w:numId w:val="59"/>
        </w:numPr>
        <w:spacing w:after="0"/>
        <w:jc w:val="both"/>
        <w:rPr>
          <w:rFonts w:ascii="Arial" w:hAnsi="Arial" w:cs="Arial"/>
          <w:sz w:val="24"/>
          <w:szCs w:val="24"/>
          <w:lang w:val="es-ES"/>
        </w:rPr>
      </w:pPr>
      <w:r w:rsidRPr="00DD7C0F">
        <w:rPr>
          <w:rFonts w:ascii="Arial" w:hAnsi="Arial" w:cs="Arial"/>
          <w:sz w:val="24"/>
          <w:szCs w:val="24"/>
        </w:rPr>
        <w:t>Principio de igualdad, equidad y enfoque territorial diferencial</w:t>
      </w:r>
      <w:r w:rsidRPr="00DD7C0F">
        <w:rPr>
          <w:rFonts w:ascii="Arial" w:hAnsi="Arial" w:cs="Arial"/>
          <w:sz w:val="24"/>
          <w:szCs w:val="24"/>
          <w:lang w:val="es-ES"/>
        </w:rPr>
        <w:t> </w:t>
      </w:r>
    </w:p>
    <w:p w:rsidRPr="00DD7C0F" w:rsidR="00B61180" w:rsidP="00B61180" w:rsidRDefault="00B61180" w14:paraId="01E1299C" w14:textId="77777777">
      <w:pPr>
        <w:numPr>
          <w:ilvl w:val="0"/>
          <w:numId w:val="60"/>
        </w:numPr>
        <w:spacing w:after="0"/>
        <w:jc w:val="both"/>
        <w:rPr>
          <w:rFonts w:ascii="Arial" w:hAnsi="Arial" w:cs="Arial"/>
          <w:sz w:val="24"/>
          <w:szCs w:val="24"/>
          <w:lang w:val="es-ES"/>
        </w:rPr>
      </w:pPr>
      <w:r w:rsidRPr="00DD7C0F">
        <w:rPr>
          <w:rFonts w:ascii="Arial" w:hAnsi="Arial" w:cs="Arial"/>
          <w:sz w:val="24"/>
          <w:szCs w:val="24"/>
        </w:rPr>
        <w:t>Integridad e imparcialidad en el manejo de información</w:t>
      </w:r>
      <w:r w:rsidRPr="00DD7C0F">
        <w:rPr>
          <w:rFonts w:ascii="Arial" w:hAnsi="Arial" w:cs="Arial"/>
          <w:sz w:val="24"/>
          <w:szCs w:val="24"/>
          <w:lang w:val="es-ES"/>
        </w:rPr>
        <w:t> </w:t>
      </w:r>
    </w:p>
    <w:p w:rsidR="00B61180" w:rsidP="00B61180" w:rsidRDefault="00B61180" w14:paraId="360601C4" w14:textId="77777777">
      <w:pPr>
        <w:numPr>
          <w:ilvl w:val="0"/>
          <w:numId w:val="61"/>
        </w:numPr>
        <w:spacing w:after="0"/>
        <w:jc w:val="both"/>
        <w:rPr>
          <w:rFonts w:ascii="Arial" w:hAnsi="Arial" w:cs="Arial"/>
          <w:sz w:val="24"/>
          <w:szCs w:val="24"/>
          <w:lang w:val="es-ES"/>
        </w:rPr>
      </w:pPr>
      <w:r w:rsidRPr="00DD7C0F">
        <w:rPr>
          <w:rFonts w:ascii="Arial" w:hAnsi="Arial" w:cs="Arial"/>
          <w:sz w:val="24"/>
          <w:szCs w:val="24"/>
        </w:rPr>
        <w:t> Principio de Mejora continua</w:t>
      </w:r>
      <w:r w:rsidRPr="00DD7C0F">
        <w:rPr>
          <w:rFonts w:ascii="Arial" w:hAnsi="Arial" w:cs="Arial"/>
          <w:sz w:val="24"/>
          <w:szCs w:val="24"/>
          <w:lang w:val="es-ES"/>
        </w:rPr>
        <w:t> </w:t>
      </w:r>
    </w:p>
    <w:p w:rsidRPr="00DD7C0F" w:rsidR="00B61180" w:rsidP="00B61180" w:rsidRDefault="00B61180" w14:paraId="1F7E899C" w14:textId="77777777">
      <w:pPr>
        <w:spacing w:after="0"/>
        <w:ind w:left="720"/>
        <w:jc w:val="both"/>
        <w:rPr>
          <w:rFonts w:ascii="Arial" w:hAnsi="Arial" w:cs="Arial"/>
          <w:sz w:val="24"/>
          <w:szCs w:val="24"/>
          <w:lang w:val="es-ES"/>
        </w:rPr>
      </w:pPr>
    </w:p>
    <w:p w:rsidRPr="00DD7C0F" w:rsidR="00B61180" w:rsidP="00B61180" w:rsidRDefault="00B61180" w14:paraId="5471E223" w14:textId="77777777">
      <w:pPr>
        <w:ind w:left="360"/>
        <w:jc w:val="both"/>
        <w:rPr>
          <w:rFonts w:ascii="Arial" w:hAnsi="Arial" w:cs="Arial"/>
          <w:sz w:val="24"/>
          <w:szCs w:val="24"/>
          <w:lang w:val="es-ES"/>
        </w:rPr>
      </w:pPr>
      <w:r w:rsidRPr="00DD7C0F">
        <w:rPr>
          <w:rFonts w:ascii="Arial" w:hAnsi="Arial" w:cs="Arial"/>
          <w:sz w:val="24"/>
          <w:szCs w:val="24"/>
        </w:rPr>
        <w:t>Así mismo, el sistema funciona se articula y funciona a través de los siguientes ejes: </w:t>
      </w:r>
      <w:r w:rsidRPr="00DD7C0F">
        <w:rPr>
          <w:rFonts w:ascii="Arial" w:hAnsi="Arial" w:cs="Arial"/>
          <w:sz w:val="24"/>
          <w:szCs w:val="24"/>
          <w:lang w:val="es-ES"/>
        </w:rPr>
        <w:t> </w:t>
      </w:r>
    </w:p>
    <w:p w:rsidRPr="00DD7C0F" w:rsidR="00B61180" w:rsidP="00B61180" w:rsidRDefault="00B61180" w14:paraId="2FFD48F5" w14:textId="77777777">
      <w:pPr>
        <w:numPr>
          <w:ilvl w:val="0"/>
          <w:numId w:val="62"/>
        </w:numPr>
        <w:jc w:val="both"/>
        <w:rPr>
          <w:rFonts w:ascii="Arial" w:hAnsi="Arial" w:cs="Arial"/>
          <w:sz w:val="24"/>
          <w:szCs w:val="24"/>
          <w:lang w:val="es-ES"/>
        </w:rPr>
      </w:pPr>
      <w:r w:rsidRPr="00DD7C0F">
        <w:rPr>
          <w:rFonts w:ascii="Arial" w:hAnsi="Arial" w:cs="Arial"/>
          <w:b/>
          <w:bCs/>
          <w:sz w:val="24"/>
          <w:szCs w:val="24"/>
        </w:rPr>
        <w:t>Eje 1. Control preventivo y alerta de actividades prohibidas:</w:t>
      </w:r>
      <w:r w:rsidRPr="00DD7C0F">
        <w:rPr>
          <w:rFonts w:ascii="Arial" w:hAnsi="Arial" w:cs="Arial"/>
          <w:sz w:val="24"/>
          <w:szCs w:val="24"/>
        </w:rPr>
        <w:t xml:space="preserve"> se refiere a un mecanismo colectivo detección y alerta temprana de actividades prohibidas por la resolución de delimitación o la Ley 1930 de 2018, y que puedan afectar el ecosistema de páramo. En este eje se busca articular la información generada por autoridades, pero también por los habitantes del páramo, para facilitar una actuación temprana y oportuna de las autoridades competentes frente a los casos de incumplimiento. Esto, sino que las comunidades deban asumir funciones de inspección o control, y sin que se </w:t>
      </w:r>
      <w:r w:rsidRPr="00DD7C0F">
        <w:rPr>
          <w:rFonts w:ascii="Arial" w:hAnsi="Arial" w:cs="Arial"/>
          <w:sz w:val="24"/>
          <w:szCs w:val="24"/>
        </w:rPr>
        <w:t>excedan las competencias asignadas por ley. Así mismo, en busca de garantizar la participación y el cuidado de los habitantes de páramo, este eje promueve la observancia y colaboración comunitaria, la trazabilidad en los reportes y actuaciones derivadas de los mismos, y la protección de quienes realizan los reportes para evitar retaliaciones en cumplimiento de algunos de los puntos del Acuerdo de Escazú. </w:t>
      </w:r>
      <w:r w:rsidRPr="00DD7C0F">
        <w:rPr>
          <w:rFonts w:ascii="Arial" w:hAnsi="Arial" w:cs="Arial"/>
          <w:sz w:val="24"/>
          <w:szCs w:val="24"/>
          <w:lang w:val="es-ES"/>
        </w:rPr>
        <w:t> </w:t>
      </w:r>
    </w:p>
    <w:p w:rsidRPr="00DD7C0F" w:rsidR="00B61180" w:rsidP="00B61180" w:rsidRDefault="00B61180" w14:paraId="22E4BC97" w14:textId="77777777">
      <w:pPr>
        <w:numPr>
          <w:ilvl w:val="0"/>
          <w:numId w:val="63"/>
        </w:numPr>
        <w:jc w:val="both"/>
        <w:rPr>
          <w:rFonts w:ascii="Arial" w:hAnsi="Arial" w:cs="Arial"/>
          <w:sz w:val="24"/>
          <w:szCs w:val="24"/>
          <w:lang w:val="es-ES"/>
        </w:rPr>
      </w:pPr>
      <w:r w:rsidRPr="00DD7C0F">
        <w:rPr>
          <w:rFonts w:ascii="Arial" w:hAnsi="Arial" w:cs="Arial"/>
          <w:b/>
          <w:bCs/>
          <w:sz w:val="24"/>
          <w:szCs w:val="24"/>
        </w:rPr>
        <w:t>Eje 2. Instrumentos de fiscalización: </w:t>
      </w:r>
      <w:r w:rsidRPr="00DD7C0F">
        <w:rPr>
          <w:rFonts w:ascii="Arial" w:hAnsi="Arial" w:cs="Arial"/>
          <w:sz w:val="24"/>
          <w:szCs w:val="24"/>
        </w:rPr>
        <w:t>hacer referencia a la promoción, gestión y concreción de espacios de diálogo, seguimiento y control social activos durante todo el proceso de implementación de la resolución. Estos espacios que estarán integrados por comunidad, autoridades y entidades territoriales, permitirán el diálogo constante para articular la información disponible sobre avances, compromisos, seguimiento a casos y alertas tempranas, pero también, para realizar un seguimiento constante a que los acuerdos se cumplan de la manera y en los tiempos acordados. Aquí se fortalece el seguimiento comunitario y se promueve la corresponsabilidad, la transparencia y la participación de la ciudadanía.</w:t>
      </w:r>
      <w:r w:rsidRPr="00DD7C0F">
        <w:rPr>
          <w:rFonts w:ascii="Arial" w:hAnsi="Arial" w:cs="Arial"/>
          <w:sz w:val="24"/>
          <w:szCs w:val="24"/>
          <w:lang w:val="es-ES"/>
        </w:rPr>
        <w:t> </w:t>
      </w:r>
    </w:p>
    <w:p w:rsidRPr="00DD7C0F" w:rsidR="00B61180" w:rsidP="00B61180" w:rsidRDefault="00B61180" w14:paraId="3C23C1AD" w14:textId="77777777">
      <w:pPr>
        <w:numPr>
          <w:ilvl w:val="0"/>
          <w:numId w:val="64"/>
        </w:numPr>
        <w:jc w:val="both"/>
        <w:rPr>
          <w:rFonts w:ascii="Arial" w:hAnsi="Arial" w:cs="Arial"/>
          <w:sz w:val="24"/>
          <w:szCs w:val="24"/>
          <w:lang w:val="es-ES"/>
        </w:rPr>
      </w:pPr>
      <w:r w:rsidRPr="00DD7C0F">
        <w:rPr>
          <w:rFonts w:ascii="Arial" w:hAnsi="Arial" w:cs="Arial"/>
          <w:b/>
          <w:bCs/>
          <w:sz w:val="24"/>
          <w:szCs w:val="24"/>
        </w:rPr>
        <w:t>Eje 3. Transparencia, trazabilidad y rendición de cuentas: </w:t>
      </w:r>
      <w:r w:rsidRPr="00DD7C0F">
        <w:rPr>
          <w:rFonts w:ascii="Arial" w:hAnsi="Arial" w:cs="Arial"/>
          <w:sz w:val="24"/>
          <w:szCs w:val="24"/>
        </w:rPr>
        <w:t>este eje se refiere a todas las acciones que deben emprenderse por parte de las autoridades, entidades territoriales y comunidad para fortalecer y favorecer el acceso a la información pública ambiental y a los informes de rendición de cuentas sobre el proceso de implementación de la resolución de delimitación. Este eje contempla la consolidación y organización de la información disponible producida por las entidades competentes, su traducción en términos simples y claros y su reporte periódico a las comunidades paramunas. Este eje promueve la transparencia institucional y la veeduría comunitaria informada.</w:t>
      </w:r>
      <w:r w:rsidRPr="00DD7C0F">
        <w:rPr>
          <w:rFonts w:ascii="Arial" w:hAnsi="Arial" w:cs="Arial"/>
          <w:sz w:val="24"/>
          <w:szCs w:val="24"/>
          <w:lang w:val="es-ES"/>
        </w:rPr>
        <w:t> </w:t>
      </w:r>
    </w:p>
    <w:p w:rsidRPr="00DD7C0F" w:rsidR="00B61180" w:rsidP="00B61180" w:rsidRDefault="00B61180" w14:paraId="42C9D500" w14:textId="77777777">
      <w:pPr>
        <w:ind w:left="360"/>
        <w:jc w:val="both"/>
        <w:rPr>
          <w:rFonts w:ascii="Arial" w:hAnsi="Arial" w:cs="Arial"/>
          <w:sz w:val="24"/>
          <w:szCs w:val="24"/>
          <w:lang w:val="es-ES"/>
        </w:rPr>
      </w:pPr>
      <w:r w:rsidRPr="00DD7C0F">
        <w:rPr>
          <w:rFonts w:ascii="Arial" w:hAnsi="Arial" w:cs="Arial"/>
          <w:sz w:val="24"/>
          <w:szCs w:val="24"/>
        </w:rPr>
        <w:t>Este proceso de mejora del sistema a partir de las intervenciones, al igual que la matriz de análisis y respuesta a cada uno de los registros forma parte de los anexos y soportes del presente Documento Técnico de Soporte y constituye evidencia de la trazabilidad del proceso participativo</w:t>
      </w:r>
    </w:p>
    <w:p w:rsidR="00B61180" w:rsidP="00B61180" w:rsidRDefault="00B61180" w14:paraId="53FD41F5" w14:textId="77777777">
      <w:pPr>
        <w:ind w:left="360"/>
        <w:jc w:val="both"/>
        <w:rPr>
          <w:rFonts w:ascii="Arial" w:hAnsi="Arial" w:cs="Arial"/>
          <w:b/>
          <w:bCs/>
          <w:sz w:val="24"/>
          <w:szCs w:val="24"/>
        </w:rPr>
      </w:pPr>
      <w:r w:rsidRPr="00530C6F">
        <w:rPr>
          <w:rFonts w:ascii="Arial" w:hAnsi="Arial" w:cs="Arial"/>
          <w:b/>
          <w:bCs/>
          <w:sz w:val="24"/>
          <w:szCs w:val="24"/>
        </w:rPr>
        <w:t>5.3 Observaciones del Ministerio Público</w:t>
      </w:r>
      <w:r>
        <w:rPr>
          <w:rFonts w:ascii="Arial" w:hAnsi="Arial" w:cs="Arial"/>
          <w:b/>
          <w:bCs/>
          <w:sz w:val="24"/>
          <w:szCs w:val="24"/>
        </w:rPr>
        <w:t xml:space="preserve"> </w:t>
      </w:r>
    </w:p>
    <w:p w:rsidRPr="00530C6F" w:rsidR="00B61180" w:rsidP="00B61180" w:rsidRDefault="00B61180" w14:paraId="35D82F7E" w14:textId="77777777">
      <w:pPr>
        <w:jc w:val="both"/>
        <w:rPr>
          <w:rFonts w:ascii="Arial" w:hAnsi="Arial" w:cs="Arial"/>
          <w:sz w:val="24"/>
          <w:szCs w:val="24"/>
        </w:rPr>
      </w:pPr>
      <w:r w:rsidRPr="1AB6159B">
        <w:rPr>
          <w:rFonts w:ascii="Arial" w:hAnsi="Arial" w:cs="Arial"/>
          <w:sz w:val="24"/>
          <w:szCs w:val="24"/>
        </w:rPr>
        <w:t xml:space="preserve">El Ministerio Público representado de manera conjunta por la </w:t>
      </w:r>
      <w:hyperlink r:id="rId20">
        <w:r w:rsidRPr="1AB6159B">
          <w:rPr>
            <w:rStyle w:val="Hipervnculo"/>
            <w:rFonts w:ascii="Arial" w:hAnsi="Arial" w:cs="Arial"/>
            <w:sz w:val="24"/>
            <w:szCs w:val="24"/>
          </w:rPr>
          <w:t>Procuraduría General de la Nación</w:t>
        </w:r>
      </w:hyperlink>
      <w:r w:rsidRPr="1AB6159B">
        <w:rPr>
          <w:rFonts w:ascii="Arial" w:hAnsi="Arial" w:cs="Arial"/>
          <w:sz w:val="24"/>
          <w:szCs w:val="24"/>
        </w:rPr>
        <w:t xml:space="preserve"> y la Defensoría del Pueblo ha presentado duras observaciones y alarmas frente a la falta de efectividad real del modelo de fiscalización propuesto en las mesas de concertación.  A través de sus informes oficiales de seguimiento presentados ante el Tribunal Administrativo de Santander, los reparos técnicos y operativos más importantes del órgano de control penalizan directamente la inacción institucional:</w:t>
      </w:r>
    </w:p>
    <w:p w:rsidRPr="00530C6F" w:rsidR="00B61180" w:rsidP="00B61180" w:rsidRDefault="00B61180" w14:paraId="41A2C64C" w14:textId="77777777">
      <w:pPr>
        <w:ind w:left="360"/>
        <w:jc w:val="both"/>
        <w:rPr>
          <w:rFonts w:ascii="Arial" w:hAnsi="Arial" w:cs="Arial"/>
          <w:b/>
          <w:bCs/>
          <w:sz w:val="24"/>
          <w:szCs w:val="24"/>
        </w:rPr>
      </w:pPr>
      <w:r w:rsidRPr="00530C6F">
        <w:rPr>
          <w:rFonts w:ascii="Arial" w:hAnsi="Arial" w:cs="Arial"/>
          <w:b/>
          <w:bCs/>
          <w:sz w:val="24"/>
          <w:szCs w:val="24"/>
        </w:rPr>
        <w:t>1. El modelo es inoperante ante el desborde de la minería ilegal</w:t>
      </w:r>
    </w:p>
    <w:p w:rsidRPr="00530C6F" w:rsidR="00B61180" w:rsidP="00B61180" w:rsidRDefault="00B61180" w14:paraId="1C9E1D11" w14:textId="77777777">
      <w:pPr>
        <w:jc w:val="both"/>
        <w:rPr>
          <w:rFonts w:ascii="Arial" w:hAnsi="Arial" w:cs="Arial"/>
          <w:sz w:val="24"/>
          <w:szCs w:val="24"/>
        </w:rPr>
      </w:pPr>
      <w:r w:rsidRPr="1AB6159B">
        <w:rPr>
          <w:rFonts w:ascii="Arial" w:hAnsi="Arial" w:cs="Arial"/>
          <w:sz w:val="24"/>
          <w:szCs w:val="24"/>
        </w:rPr>
        <w:t xml:space="preserve">En el </w:t>
      </w:r>
      <w:r w:rsidRPr="1AB6159B">
        <w:rPr>
          <w:rFonts w:ascii="Arial" w:hAnsi="Arial" w:cs="Arial"/>
          <w:i/>
          <w:iCs/>
          <w:sz w:val="24"/>
          <w:szCs w:val="24"/>
        </w:rPr>
        <w:t>Vigésimo Quinto Informe de Seguimiento</w:t>
      </w:r>
      <w:r w:rsidRPr="1AB6159B">
        <w:rPr>
          <w:rFonts w:ascii="Arial" w:hAnsi="Arial" w:cs="Arial"/>
          <w:sz w:val="24"/>
          <w:szCs w:val="24"/>
        </w:rPr>
        <w:t xml:space="preserve"> (junio de 2026), la Procuraduría denunció que mientras el Ministerio de Ambiente debate la teoría del modelo de fiscalización en los escritorios, la minería ilegal se ha triplicado en el territorio en el último año. El Ministerio Público señala que el modelo propuesto es "lento y burocrático", lo que ha permitido que mafias criminales exploten el núcleo del páramo con mercurio y cianuro sin que los comités de fiscalización reaccionen a tiempo. Por ello, trasladaron copias formales a la fiscalía general de la Nación para iniciar investigaciones penales directas.</w:t>
      </w:r>
    </w:p>
    <w:p w:rsidRPr="00530C6F" w:rsidR="00B61180" w:rsidP="00B61180" w:rsidRDefault="00B61180" w14:paraId="78CDC547" w14:textId="77777777">
      <w:pPr>
        <w:ind w:left="360"/>
        <w:jc w:val="both"/>
        <w:rPr>
          <w:rFonts w:ascii="Arial" w:hAnsi="Arial" w:cs="Arial"/>
          <w:b/>
          <w:bCs/>
          <w:sz w:val="24"/>
          <w:szCs w:val="24"/>
        </w:rPr>
      </w:pPr>
      <w:r w:rsidRPr="00530C6F">
        <w:rPr>
          <w:rFonts w:ascii="Arial" w:hAnsi="Arial" w:cs="Arial"/>
          <w:b/>
          <w:bCs/>
          <w:sz w:val="24"/>
          <w:szCs w:val="24"/>
        </w:rPr>
        <w:t>2. Falta de articulación real e incidente con autoridades locales</w:t>
      </w:r>
    </w:p>
    <w:p w:rsidRPr="00530C6F" w:rsidR="00B61180" w:rsidP="00B61180" w:rsidRDefault="00B61180" w14:paraId="0916262A" w14:textId="77777777">
      <w:pPr>
        <w:jc w:val="both"/>
        <w:rPr>
          <w:rFonts w:ascii="Arial" w:hAnsi="Arial" w:cs="Arial"/>
          <w:sz w:val="24"/>
          <w:szCs w:val="24"/>
        </w:rPr>
      </w:pPr>
      <w:r w:rsidRPr="1AB6159B">
        <w:rPr>
          <w:rFonts w:ascii="Arial" w:hAnsi="Arial" w:cs="Arial"/>
          <w:sz w:val="24"/>
          <w:szCs w:val="24"/>
        </w:rPr>
        <w:t>El Ministerio Público advirtió debilidades de gobernanza en el diseño del modelo. La Procuraduría observa que el sistema de fiscalización del MinAmbiente no integra de forma vinculante ni incidente a las autoridades ambientales regionales (como la CDMB y Corponor) ni a las alcaldías locales en la toma de decisiones definitivas de ordenamiento minero-ambiental. El órgano de control exige que el modelo asigne presupuestos y competencias sancionatorias exactas e inmediatas a las corporaciones autónomas para que no quede en una estrategia centralizada desde Bogotá.</w:t>
      </w:r>
    </w:p>
    <w:p w:rsidRPr="00530C6F" w:rsidR="00B61180" w:rsidP="00B61180" w:rsidRDefault="00B61180" w14:paraId="31C2C5FE" w14:textId="77777777">
      <w:pPr>
        <w:ind w:left="360"/>
        <w:jc w:val="both"/>
        <w:rPr>
          <w:rFonts w:ascii="Arial" w:hAnsi="Arial" w:cs="Arial"/>
          <w:b/>
          <w:bCs/>
          <w:sz w:val="24"/>
          <w:szCs w:val="24"/>
        </w:rPr>
      </w:pPr>
      <w:r w:rsidRPr="00530C6F">
        <w:rPr>
          <w:rFonts w:ascii="Arial" w:hAnsi="Arial" w:cs="Arial"/>
          <w:b/>
          <w:bCs/>
          <w:sz w:val="24"/>
          <w:szCs w:val="24"/>
        </w:rPr>
        <w:t>3. El modelo carece de "dientes jurídicos" inmediatos</w:t>
      </w:r>
    </w:p>
    <w:p w:rsidRPr="00DD7C0F" w:rsidR="00B61180" w:rsidP="00B61180" w:rsidRDefault="00B61180" w14:paraId="1832659C" w14:textId="77777777">
      <w:pPr>
        <w:jc w:val="both"/>
        <w:rPr>
          <w:rFonts w:ascii="Arial" w:hAnsi="Arial" w:cs="Arial"/>
          <w:sz w:val="24"/>
          <w:szCs w:val="24"/>
        </w:rPr>
      </w:pPr>
      <w:r w:rsidRPr="1AB6159B">
        <w:rPr>
          <w:rFonts w:ascii="Arial" w:hAnsi="Arial" w:cs="Arial"/>
          <w:sz w:val="24"/>
          <w:szCs w:val="24"/>
        </w:rPr>
        <w:t>Para los entes de control, el esquema propuesto por el Gobierno Nacional depende excesivamente de la denuncia comunitaria (veedurías campesinas), pero falla en el brazo operativo del Estado para ejecutar capturas en flagrancia o el decomiso de maquinaria pesada. La observación apunta a que la fiscalización no puede ser solo informativa; debe obligar a la presencia permanente y coordinada de la Policía de Carabineros y el Ejército Nacional en las bocaminas ilegales detectadas.</w:t>
      </w:r>
    </w:p>
    <w:p w:rsidR="00B61180" w:rsidP="00B61180" w:rsidRDefault="00B61180" w14:paraId="6070DE52" w14:textId="77777777">
      <w:pPr>
        <w:jc w:val="both"/>
        <w:rPr>
          <w:rFonts w:ascii="Arial" w:hAnsi="Arial" w:cs="Arial"/>
          <w:b/>
          <w:bCs/>
          <w:sz w:val="24"/>
          <w:szCs w:val="24"/>
        </w:rPr>
      </w:pPr>
      <w:r w:rsidRPr="1AB6159B">
        <w:rPr>
          <w:rFonts w:ascii="Arial" w:hAnsi="Arial" w:cs="Arial"/>
          <w:b/>
          <w:bCs/>
          <w:sz w:val="24"/>
          <w:szCs w:val="24"/>
        </w:rPr>
        <w:t xml:space="preserve">CAPÍTULO 6. ALCANCE DEL SISTEMA DE FISCALIZACIÓN Y ARTICULACIÓN CON OTRAS COMPETENCIAS INSTITUCIONALES </w:t>
      </w:r>
    </w:p>
    <w:p w:rsidR="00B61180" w:rsidP="00B61180" w:rsidRDefault="00B61180" w14:paraId="650DE905" w14:textId="77777777">
      <w:pPr>
        <w:jc w:val="both"/>
        <w:rPr>
          <w:rFonts w:ascii="Arial" w:hAnsi="Arial" w:cs="Arial"/>
          <w:sz w:val="24"/>
          <w:szCs w:val="24"/>
        </w:rPr>
      </w:pPr>
      <w:r w:rsidRPr="1AB6159B">
        <w:rPr>
          <w:rFonts w:ascii="Arial" w:hAnsi="Arial" w:cs="Arial"/>
          <w:sz w:val="24"/>
          <w:szCs w:val="24"/>
        </w:rPr>
        <w:t xml:space="preserve">Conforme a los principios desarrollados en el capítulo </w:t>
      </w:r>
      <w:r w:rsidRPr="1AB6159B">
        <w:rPr>
          <w:rFonts w:ascii="Arial" w:hAnsi="Arial" w:cs="Arial"/>
          <w:b/>
          <w:bCs/>
          <w:sz w:val="24"/>
          <w:szCs w:val="24"/>
        </w:rPr>
        <w:t>"Qué es el Sistema de Fiscalización y para qué existe"</w:t>
      </w:r>
      <w:r w:rsidRPr="1AB6159B">
        <w:rPr>
          <w:rFonts w:ascii="Arial" w:hAnsi="Arial" w:cs="Arial"/>
          <w:sz w:val="24"/>
          <w:szCs w:val="24"/>
        </w:rPr>
        <w:t xml:space="preserve">, el Sistema de Fiscalización tiene un objeto específico y un ámbito competencial claramente delimitado por la Sentencia T- 361 de 2017, la orden impartida por el Juzgado 40 Administrativo del Circuito de Bogotá y el marco constitucional y legal vigente. Durante el proceso participativo las comunidades formularon solicitudes que, si bien responden a necesidades legítimas del territorio y guardan relación con la gestión integral del complejo de páramos Santurbán Berlín, corresponden al ámbito competencial de otras entidades públicas o a instrumentos administrativos distintos de la resolución de delimitación. </w:t>
      </w:r>
    </w:p>
    <w:p w:rsidRPr="00DD7C0F" w:rsidR="00B61180" w:rsidP="00B61180" w:rsidRDefault="00B61180" w14:paraId="61B160F9" w14:textId="77777777">
      <w:pPr>
        <w:jc w:val="both"/>
      </w:pPr>
      <w:r w:rsidRPr="1AB6159B">
        <w:rPr>
          <w:rFonts w:ascii="Arial" w:hAnsi="Arial" w:cs="Arial"/>
          <w:sz w:val="24"/>
          <w:szCs w:val="24"/>
        </w:rPr>
        <w:t>En consecuencia, el Sistema de Fiscalización reconoce dichas necesidades, identifica las autoridades competentes para su atención y establece los mecanismos de articulación institucional y traslado previstos en el presente documento, sin asumir competencias que el ordenamiento jurídico atribuye a otras autoridades ni generar obligaciones que excedan el objeto del acto administrativo de delimitación. La identificación de la autoridad competente para cada materia no excluye los deberes de coordinación, concurrencia y colaboración armónica que orientan la actuación de las entidades públicas, particularmente en aquellos asuntos cuya gestión requiere la participación de varias autoridades en el marco del Sistema Nacional Ambiental, del ordenamiento territorial o de la gestión integral de los ecosistemas de páramo.</w:t>
      </w:r>
    </w:p>
    <w:tbl>
      <w:tblPr>
        <w:tblW w:w="900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Look w:val="04A0" w:firstRow="1" w:lastRow="0" w:firstColumn="1" w:lastColumn="0" w:noHBand="0" w:noVBand="1"/>
      </w:tblPr>
      <w:tblGrid>
        <w:gridCol w:w="3000"/>
        <w:gridCol w:w="3000"/>
        <w:gridCol w:w="3000"/>
      </w:tblGrid>
      <w:tr w:rsidRPr="004D06D0" w:rsidR="00B61180" w:rsidTr="00631238" w14:paraId="77023CB9" w14:textId="77777777">
        <w:trPr>
          <w:jc w:val="center"/>
        </w:trPr>
        <w:tc>
          <w:tcPr>
            <w:tcW w:w="3000" w:type="dxa"/>
            <w:tcBorders>
              <w:top w:val="single" w:color="auto" w:sz="4" w:space="0"/>
              <w:left w:val="single" w:color="auto" w:sz="4" w:space="0"/>
              <w:bottom w:val="single" w:color="auto" w:sz="4" w:space="0"/>
              <w:right w:val="single" w:color="auto" w:sz="4" w:space="0"/>
            </w:tcBorders>
            <w:shd w:val="clear" w:color="auto" w:fill="00B050"/>
            <w:vAlign w:val="center"/>
            <w:hideMark/>
          </w:tcPr>
          <w:p w:rsidRPr="004D06D0" w:rsidR="00B61180" w:rsidP="00631238" w:rsidRDefault="00B61180" w14:paraId="6CE20978" w14:textId="77777777">
            <w:pPr>
              <w:spacing w:after="0" w:line="240" w:lineRule="auto"/>
              <w:jc w:val="center"/>
              <w:rPr>
                <w:rFonts w:ascii="Times New Roman" w:hAnsi="Times New Roman" w:eastAsia="Times New Roman" w:cs="Times New Roman"/>
                <w:kern w:val="0"/>
                <w:sz w:val="24"/>
                <w:szCs w:val="24"/>
                <w:lang w:eastAsia="es-CO"/>
                <w14:ligatures w14:val="none"/>
              </w:rPr>
            </w:pPr>
            <w:r w:rsidRPr="004D06D0">
              <w:rPr>
                <w:rFonts w:ascii="Verdana-Bold" w:hAnsi="Verdana-Bold" w:eastAsia="Times New Roman" w:cs="Times New Roman"/>
                <w:b/>
                <w:bCs/>
                <w:color w:val="000000"/>
                <w:kern w:val="0"/>
                <w:lang w:eastAsia="es-CO"/>
                <w14:ligatures w14:val="none"/>
              </w:rPr>
              <w:t>Materia</w:t>
            </w:r>
          </w:p>
        </w:tc>
        <w:tc>
          <w:tcPr>
            <w:tcW w:w="3000" w:type="dxa"/>
            <w:tcBorders>
              <w:top w:val="single" w:color="auto" w:sz="4" w:space="0"/>
              <w:left w:val="single" w:color="auto" w:sz="4" w:space="0"/>
              <w:bottom w:val="single" w:color="auto" w:sz="4" w:space="0"/>
              <w:right w:val="single" w:color="auto" w:sz="4" w:space="0"/>
            </w:tcBorders>
            <w:shd w:val="clear" w:color="auto" w:fill="00B050"/>
            <w:vAlign w:val="center"/>
            <w:hideMark/>
          </w:tcPr>
          <w:p w:rsidRPr="004D06D0" w:rsidR="00B61180" w:rsidP="00631238" w:rsidRDefault="00B61180" w14:paraId="369238B4" w14:textId="77777777">
            <w:pPr>
              <w:spacing w:after="0" w:line="240" w:lineRule="auto"/>
              <w:jc w:val="center"/>
              <w:rPr>
                <w:rFonts w:ascii="Times New Roman" w:hAnsi="Times New Roman" w:eastAsia="Times New Roman" w:cs="Times New Roman"/>
                <w:kern w:val="0"/>
                <w:sz w:val="24"/>
                <w:szCs w:val="24"/>
                <w:lang w:eastAsia="es-CO"/>
                <w14:ligatures w14:val="none"/>
              </w:rPr>
            </w:pPr>
            <w:r w:rsidRPr="004D06D0">
              <w:rPr>
                <w:rFonts w:ascii="Verdana-Bold" w:hAnsi="Verdana-Bold" w:eastAsia="Times New Roman" w:cs="Times New Roman"/>
                <w:b/>
                <w:bCs/>
                <w:color w:val="000000"/>
                <w:kern w:val="0"/>
                <w:lang w:eastAsia="es-CO"/>
                <w14:ligatures w14:val="none"/>
              </w:rPr>
              <w:t>Entidad activable</w:t>
            </w:r>
          </w:p>
        </w:tc>
        <w:tc>
          <w:tcPr>
            <w:tcW w:w="3000" w:type="dxa"/>
            <w:tcBorders>
              <w:top w:val="single" w:color="auto" w:sz="4" w:space="0"/>
              <w:left w:val="single" w:color="auto" w:sz="4" w:space="0"/>
              <w:bottom w:val="single" w:color="auto" w:sz="4" w:space="0"/>
              <w:right w:val="single" w:color="auto" w:sz="4" w:space="0"/>
            </w:tcBorders>
            <w:shd w:val="clear" w:color="auto" w:fill="00B050"/>
            <w:vAlign w:val="center"/>
            <w:hideMark/>
          </w:tcPr>
          <w:p w:rsidRPr="004D06D0" w:rsidR="00B61180" w:rsidP="00631238" w:rsidRDefault="00B61180" w14:paraId="229631D3" w14:textId="77777777">
            <w:pPr>
              <w:spacing w:after="0" w:line="240" w:lineRule="auto"/>
              <w:jc w:val="center"/>
              <w:rPr>
                <w:rFonts w:ascii="Times New Roman" w:hAnsi="Times New Roman" w:eastAsia="Times New Roman" w:cs="Times New Roman"/>
                <w:kern w:val="0"/>
                <w:sz w:val="24"/>
                <w:szCs w:val="24"/>
                <w:lang w:eastAsia="es-CO"/>
                <w14:ligatures w14:val="none"/>
              </w:rPr>
            </w:pPr>
            <w:r w:rsidRPr="004D06D0">
              <w:rPr>
                <w:rFonts w:ascii="Verdana-Bold" w:hAnsi="Verdana-Bold" w:eastAsia="Times New Roman" w:cs="Times New Roman"/>
                <w:b/>
                <w:bCs/>
                <w:color w:val="000000"/>
                <w:kern w:val="0"/>
                <w:lang w:eastAsia="es-CO"/>
                <w14:ligatures w14:val="none"/>
              </w:rPr>
              <w:t>Fundamento</w:t>
            </w:r>
          </w:p>
        </w:tc>
      </w:tr>
      <w:tr w:rsidRPr="004D06D0" w:rsidR="00B61180" w:rsidTr="00631238" w14:paraId="58A8B848" w14:textId="77777777">
        <w:trPr>
          <w:jc w:val="center"/>
        </w:trPr>
        <w:tc>
          <w:tcPr>
            <w:tcW w:w="3000" w:type="dxa"/>
            <w:tcBorders>
              <w:top w:val="single" w:color="auto" w:sz="4" w:space="0"/>
              <w:left w:val="single" w:color="auto" w:sz="4" w:space="0"/>
              <w:bottom w:val="single" w:color="auto" w:sz="4" w:space="0"/>
              <w:right w:val="single" w:color="auto" w:sz="4" w:space="0"/>
            </w:tcBorders>
            <w:vAlign w:val="center"/>
            <w:hideMark/>
          </w:tcPr>
          <w:p w:rsidRPr="004D06D0" w:rsidR="00B61180" w:rsidP="00631238" w:rsidRDefault="00B61180" w14:paraId="2BE07394" w14:textId="77777777">
            <w:pPr>
              <w:spacing w:after="0" w:line="240" w:lineRule="auto"/>
              <w:rPr>
                <w:rFonts w:ascii="Times New Roman" w:hAnsi="Times New Roman" w:eastAsia="Times New Roman" w:cs="Times New Roman"/>
                <w:kern w:val="0"/>
                <w:sz w:val="24"/>
                <w:szCs w:val="24"/>
                <w:lang w:eastAsia="es-CO"/>
                <w14:ligatures w14:val="none"/>
              </w:rPr>
            </w:pPr>
            <w:r w:rsidRPr="004D06D0">
              <w:rPr>
                <w:rFonts w:ascii="Verdana" w:hAnsi="Verdana" w:eastAsia="Times New Roman" w:cs="Times New Roman"/>
                <w:color w:val="000000"/>
                <w:kern w:val="0"/>
                <w:lang w:eastAsia="es-CO"/>
                <w14:ligatures w14:val="none"/>
              </w:rPr>
              <w:t xml:space="preserve">Minería en áreas protegidas </w:t>
            </w:r>
          </w:p>
        </w:tc>
        <w:tc>
          <w:tcPr>
            <w:tcW w:w="3000" w:type="dxa"/>
            <w:tcBorders>
              <w:top w:val="single" w:color="auto" w:sz="4" w:space="0"/>
              <w:left w:val="single" w:color="auto" w:sz="4" w:space="0"/>
              <w:bottom w:val="single" w:color="auto" w:sz="4" w:space="0"/>
              <w:right w:val="single" w:color="auto" w:sz="4" w:space="0"/>
            </w:tcBorders>
            <w:vAlign w:val="center"/>
            <w:hideMark/>
          </w:tcPr>
          <w:p w:rsidRPr="004D06D0" w:rsidR="00B61180" w:rsidP="00631238" w:rsidRDefault="00B61180" w14:paraId="5CBEBDAB" w14:textId="77777777">
            <w:pPr>
              <w:spacing w:after="0" w:line="240" w:lineRule="auto"/>
              <w:rPr>
                <w:rFonts w:ascii="Times New Roman" w:hAnsi="Times New Roman" w:eastAsia="Times New Roman" w:cs="Times New Roman"/>
                <w:kern w:val="0"/>
                <w:sz w:val="24"/>
                <w:szCs w:val="24"/>
                <w:lang w:eastAsia="es-CO"/>
                <w14:ligatures w14:val="none"/>
              </w:rPr>
            </w:pPr>
            <w:r w:rsidRPr="004D06D0">
              <w:rPr>
                <w:rFonts w:ascii="Verdana" w:hAnsi="Verdana" w:eastAsia="Times New Roman" w:cs="Times New Roman"/>
                <w:color w:val="000000"/>
                <w:kern w:val="0"/>
                <w:lang w:eastAsia="es-CO"/>
                <w14:ligatures w14:val="none"/>
              </w:rPr>
              <w:t>Agencia Nacional de</w:t>
            </w:r>
            <w:r>
              <w:rPr>
                <w:rFonts w:ascii="Verdana" w:hAnsi="Verdana" w:eastAsia="Times New Roman" w:cs="Times New Roman"/>
                <w:color w:val="000000"/>
                <w:kern w:val="0"/>
                <w:lang w:eastAsia="es-CO"/>
                <w14:ligatures w14:val="none"/>
              </w:rPr>
              <w:t xml:space="preserve"> </w:t>
            </w:r>
            <w:r w:rsidRPr="004D06D0">
              <w:rPr>
                <w:rFonts w:ascii="Verdana" w:hAnsi="Verdana" w:eastAsia="Times New Roman" w:cs="Times New Roman"/>
                <w:color w:val="000000"/>
                <w:kern w:val="0"/>
                <w:lang w:eastAsia="es-CO"/>
                <w14:ligatures w14:val="none"/>
              </w:rPr>
              <w:t>Minería (ANM)</w:t>
            </w:r>
          </w:p>
        </w:tc>
        <w:tc>
          <w:tcPr>
            <w:tcW w:w="3000" w:type="dxa"/>
            <w:tcBorders>
              <w:top w:val="single" w:color="auto" w:sz="4" w:space="0"/>
              <w:left w:val="single" w:color="auto" w:sz="4" w:space="0"/>
              <w:bottom w:val="single" w:color="auto" w:sz="4" w:space="0"/>
              <w:right w:val="single" w:color="auto" w:sz="4" w:space="0"/>
            </w:tcBorders>
            <w:vAlign w:val="center"/>
            <w:hideMark/>
          </w:tcPr>
          <w:p w:rsidRPr="004D06D0" w:rsidR="00B61180" w:rsidP="00631238" w:rsidRDefault="00B61180" w14:paraId="1C7F3F36" w14:textId="77777777">
            <w:pPr>
              <w:spacing w:after="0" w:line="240" w:lineRule="auto"/>
              <w:rPr>
                <w:rFonts w:ascii="Times New Roman" w:hAnsi="Times New Roman" w:eastAsia="Times New Roman" w:cs="Times New Roman"/>
                <w:kern w:val="0"/>
                <w:sz w:val="24"/>
                <w:szCs w:val="24"/>
                <w:lang w:eastAsia="es-CO"/>
                <w14:ligatures w14:val="none"/>
              </w:rPr>
            </w:pPr>
            <w:r w:rsidRPr="004D06D0">
              <w:rPr>
                <w:rFonts w:ascii="Verdana" w:hAnsi="Verdana" w:eastAsia="Times New Roman" w:cs="Times New Roman"/>
                <w:color w:val="000000"/>
                <w:kern w:val="0"/>
                <w:lang w:eastAsia="es-CO"/>
                <w14:ligatures w14:val="none"/>
              </w:rPr>
              <w:t>La minería en páramo es</w:t>
            </w:r>
            <w:r w:rsidRPr="004D06D0">
              <w:rPr>
                <w:rFonts w:ascii="Verdana" w:hAnsi="Verdana" w:eastAsia="Times New Roman" w:cs="Times New Roman"/>
                <w:color w:val="000000"/>
                <w:kern w:val="0"/>
                <w:lang w:eastAsia="es-CO"/>
                <w14:ligatures w14:val="none"/>
              </w:rPr>
              <w:br/>
            </w:r>
            <w:r w:rsidRPr="004D06D0">
              <w:rPr>
                <w:rFonts w:ascii="Verdana" w:hAnsi="Verdana" w:eastAsia="Times New Roman" w:cs="Times New Roman"/>
                <w:color w:val="000000"/>
                <w:kern w:val="0"/>
                <w:lang w:eastAsia="es-CO"/>
                <w14:ligatures w14:val="none"/>
              </w:rPr>
              <w:t>una prohibición expresa</w:t>
            </w:r>
            <w:r w:rsidRPr="004D06D0">
              <w:rPr>
                <w:rFonts w:ascii="Verdana" w:hAnsi="Verdana" w:eastAsia="Times New Roman" w:cs="Times New Roman"/>
                <w:color w:val="000000"/>
                <w:kern w:val="0"/>
                <w:lang w:eastAsia="es-CO"/>
                <w14:ligatures w14:val="none"/>
              </w:rPr>
              <w:br/>
            </w:r>
            <w:r w:rsidRPr="004D06D0">
              <w:rPr>
                <w:rFonts w:ascii="Verdana" w:hAnsi="Verdana" w:eastAsia="Times New Roman" w:cs="Times New Roman"/>
                <w:color w:val="000000"/>
                <w:kern w:val="0"/>
                <w:lang w:eastAsia="es-CO"/>
                <w14:ligatures w14:val="none"/>
              </w:rPr>
              <w:t>de la Ley 1930 de 2018,</w:t>
            </w:r>
            <w:r w:rsidRPr="004D06D0">
              <w:rPr>
                <w:rFonts w:ascii="Verdana" w:hAnsi="Verdana" w:eastAsia="Times New Roman" w:cs="Times New Roman"/>
                <w:color w:val="000000"/>
                <w:kern w:val="0"/>
                <w:lang w:eastAsia="es-CO"/>
                <w14:ligatures w14:val="none"/>
              </w:rPr>
              <w:br/>
            </w:r>
            <w:r w:rsidRPr="004D06D0">
              <w:rPr>
                <w:rFonts w:ascii="Verdana" w:hAnsi="Verdana" w:eastAsia="Times New Roman" w:cs="Times New Roman"/>
                <w:color w:val="000000"/>
                <w:kern w:val="0"/>
                <w:lang w:eastAsia="es-CO"/>
                <w14:ligatures w14:val="none"/>
              </w:rPr>
              <w:t>activada de pleno</w:t>
            </w:r>
            <w:r w:rsidRPr="004D06D0">
              <w:rPr>
                <w:rFonts w:ascii="Verdana" w:hAnsi="Verdana" w:eastAsia="Times New Roman" w:cs="Times New Roman"/>
                <w:color w:val="000000"/>
                <w:kern w:val="0"/>
                <w:lang w:eastAsia="es-CO"/>
                <w14:ligatures w14:val="none"/>
              </w:rPr>
              <w:br/>
            </w:r>
            <w:r w:rsidRPr="004D06D0">
              <w:rPr>
                <w:rFonts w:ascii="Verdana" w:hAnsi="Verdana" w:eastAsia="Times New Roman" w:cs="Times New Roman"/>
                <w:color w:val="000000"/>
                <w:kern w:val="0"/>
                <w:lang w:eastAsia="es-CO"/>
                <w14:ligatures w14:val="none"/>
              </w:rPr>
              <w:t>derecho por la</w:t>
            </w:r>
            <w:r w:rsidRPr="004D06D0">
              <w:rPr>
                <w:rFonts w:ascii="Verdana" w:hAnsi="Verdana" w:eastAsia="Times New Roman" w:cs="Times New Roman"/>
                <w:color w:val="000000"/>
                <w:kern w:val="0"/>
                <w:lang w:eastAsia="es-CO"/>
                <w14:ligatures w14:val="none"/>
              </w:rPr>
              <w:br/>
            </w:r>
            <w:r w:rsidRPr="004D06D0">
              <w:rPr>
                <w:rFonts w:ascii="Verdana" w:hAnsi="Verdana" w:eastAsia="Times New Roman" w:cs="Times New Roman"/>
                <w:color w:val="000000"/>
                <w:kern w:val="0"/>
                <w:lang w:eastAsia="es-CO"/>
                <w14:ligatures w14:val="none"/>
              </w:rPr>
              <w:t>delimitación. La revisión</w:t>
            </w:r>
            <w:r w:rsidRPr="004D06D0">
              <w:rPr>
                <w:rFonts w:ascii="Verdana" w:hAnsi="Verdana" w:eastAsia="Times New Roman" w:cs="Times New Roman"/>
                <w:color w:val="000000"/>
                <w:kern w:val="0"/>
                <w:lang w:eastAsia="es-CO"/>
                <w14:ligatures w14:val="none"/>
              </w:rPr>
              <w:br/>
            </w:r>
            <w:r w:rsidRPr="004D06D0">
              <w:rPr>
                <w:rFonts w:ascii="Verdana" w:hAnsi="Verdana" w:eastAsia="Times New Roman" w:cs="Times New Roman"/>
                <w:color w:val="000000"/>
                <w:kern w:val="0"/>
                <w:lang w:eastAsia="es-CO"/>
                <w14:ligatures w14:val="none"/>
              </w:rPr>
              <w:t>y eventual sustitución de</w:t>
            </w:r>
            <w:r w:rsidRPr="004D06D0">
              <w:rPr>
                <w:rFonts w:ascii="Verdana" w:hAnsi="Verdana" w:eastAsia="Times New Roman" w:cs="Times New Roman"/>
                <w:color w:val="000000"/>
                <w:kern w:val="0"/>
                <w:lang w:eastAsia="es-CO"/>
                <w14:ligatures w14:val="none"/>
              </w:rPr>
              <w:br/>
            </w:r>
            <w:r w:rsidRPr="004D06D0">
              <w:rPr>
                <w:rFonts w:ascii="Verdana" w:hAnsi="Verdana" w:eastAsia="Times New Roman" w:cs="Times New Roman"/>
                <w:color w:val="000000"/>
                <w:kern w:val="0"/>
                <w:lang w:eastAsia="es-CO"/>
                <w14:ligatures w14:val="none"/>
              </w:rPr>
              <w:t>títulos mineros vigentes</w:t>
            </w:r>
            <w:r w:rsidRPr="004D06D0">
              <w:rPr>
                <w:rFonts w:ascii="Verdana" w:hAnsi="Verdana" w:eastAsia="Times New Roman" w:cs="Times New Roman"/>
                <w:color w:val="000000"/>
                <w:kern w:val="0"/>
                <w:lang w:eastAsia="es-CO"/>
                <w14:ligatures w14:val="none"/>
              </w:rPr>
              <w:br/>
            </w:r>
            <w:r w:rsidRPr="004D06D0">
              <w:rPr>
                <w:rFonts w:ascii="Verdana" w:hAnsi="Verdana" w:eastAsia="Times New Roman" w:cs="Times New Roman"/>
                <w:color w:val="000000"/>
                <w:kern w:val="0"/>
                <w:lang w:eastAsia="es-CO"/>
                <w14:ligatures w14:val="none"/>
              </w:rPr>
              <w:t>corresponde a la ANM.</w:t>
            </w:r>
          </w:p>
        </w:tc>
      </w:tr>
      <w:tr w:rsidRPr="004D06D0" w:rsidR="00B61180" w:rsidTr="00631238" w14:paraId="74888279" w14:textId="77777777">
        <w:trPr>
          <w:jc w:val="center"/>
        </w:trPr>
        <w:tc>
          <w:tcPr>
            <w:tcW w:w="3000" w:type="dxa"/>
            <w:tcBorders>
              <w:top w:val="single" w:color="auto" w:sz="4" w:space="0"/>
              <w:left w:val="single" w:color="auto" w:sz="4" w:space="0"/>
              <w:bottom w:val="single" w:color="auto" w:sz="4" w:space="0"/>
              <w:right w:val="single" w:color="auto" w:sz="4" w:space="0"/>
            </w:tcBorders>
            <w:vAlign w:val="center"/>
            <w:hideMark/>
          </w:tcPr>
          <w:p w:rsidRPr="004D06D0" w:rsidR="00B61180" w:rsidP="00631238" w:rsidRDefault="00B61180" w14:paraId="5BB28ECD" w14:textId="77777777">
            <w:pPr>
              <w:spacing w:after="0" w:line="240" w:lineRule="auto"/>
              <w:rPr>
                <w:rFonts w:ascii="Times New Roman" w:hAnsi="Times New Roman" w:eastAsia="Times New Roman" w:cs="Times New Roman"/>
                <w:kern w:val="0"/>
                <w:sz w:val="24"/>
                <w:szCs w:val="24"/>
                <w:lang w:eastAsia="es-CO"/>
                <w14:ligatures w14:val="none"/>
              </w:rPr>
            </w:pPr>
            <w:r w:rsidRPr="004D06D0">
              <w:rPr>
                <w:rFonts w:ascii="Verdana" w:hAnsi="Verdana" w:eastAsia="Times New Roman" w:cs="Times New Roman"/>
                <w:color w:val="000000"/>
                <w:kern w:val="0"/>
                <w:lang w:eastAsia="es-CO"/>
                <w14:ligatures w14:val="none"/>
              </w:rPr>
              <w:t>Saneamiento básico rural</w:t>
            </w:r>
            <w:r w:rsidRPr="004D06D0">
              <w:rPr>
                <w:rFonts w:ascii="Verdana" w:hAnsi="Verdana" w:eastAsia="Times New Roman" w:cs="Times New Roman"/>
                <w:color w:val="000000"/>
                <w:kern w:val="0"/>
                <w:lang w:eastAsia="es-CO"/>
                <w14:ligatures w14:val="none"/>
              </w:rPr>
              <w:br/>
            </w:r>
            <w:r w:rsidRPr="004D06D0">
              <w:rPr>
                <w:rFonts w:ascii="Verdana" w:hAnsi="Verdana" w:eastAsia="Times New Roman" w:cs="Times New Roman"/>
                <w:color w:val="000000"/>
                <w:kern w:val="0"/>
                <w:lang w:eastAsia="es-CO"/>
                <w14:ligatures w14:val="none"/>
              </w:rPr>
              <w:t>(pozos sépticos, acueductos</w:t>
            </w:r>
            <w:r w:rsidRPr="004D06D0">
              <w:rPr>
                <w:rFonts w:ascii="Verdana" w:hAnsi="Verdana" w:eastAsia="Times New Roman" w:cs="Times New Roman"/>
                <w:color w:val="000000"/>
                <w:kern w:val="0"/>
                <w:lang w:eastAsia="es-CO"/>
                <w14:ligatures w14:val="none"/>
              </w:rPr>
              <w:br/>
            </w:r>
            <w:r w:rsidRPr="004D06D0">
              <w:rPr>
                <w:rFonts w:ascii="Verdana" w:hAnsi="Verdana" w:eastAsia="Times New Roman" w:cs="Times New Roman"/>
                <w:color w:val="000000"/>
                <w:kern w:val="0"/>
                <w:lang w:eastAsia="es-CO"/>
                <w14:ligatures w14:val="none"/>
              </w:rPr>
              <w:t>veredales)</w:t>
            </w:r>
          </w:p>
        </w:tc>
        <w:tc>
          <w:tcPr>
            <w:tcW w:w="3000" w:type="dxa"/>
            <w:tcBorders>
              <w:top w:val="single" w:color="auto" w:sz="4" w:space="0"/>
              <w:left w:val="single" w:color="auto" w:sz="4" w:space="0"/>
              <w:bottom w:val="single" w:color="auto" w:sz="4" w:space="0"/>
              <w:right w:val="single" w:color="auto" w:sz="4" w:space="0"/>
            </w:tcBorders>
            <w:vAlign w:val="center"/>
            <w:hideMark/>
          </w:tcPr>
          <w:p w:rsidRPr="004D06D0" w:rsidR="00B61180" w:rsidP="00631238" w:rsidRDefault="00B61180" w14:paraId="6C1D36D8" w14:textId="77777777">
            <w:pPr>
              <w:spacing w:after="0" w:line="240" w:lineRule="auto"/>
              <w:rPr>
                <w:rFonts w:ascii="Times New Roman" w:hAnsi="Times New Roman" w:eastAsia="Times New Roman" w:cs="Times New Roman"/>
                <w:kern w:val="0"/>
                <w:sz w:val="24"/>
                <w:szCs w:val="24"/>
                <w:lang w:eastAsia="es-CO"/>
                <w14:ligatures w14:val="none"/>
              </w:rPr>
            </w:pPr>
            <w:r w:rsidRPr="004D06D0">
              <w:rPr>
                <w:rFonts w:ascii="Verdana" w:hAnsi="Verdana" w:eastAsia="Times New Roman" w:cs="Times New Roman"/>
                <w:color w:val="000000"/>
                <w:kern w:val="0"/>
                <w:lang w:eastAsia="es-CO"/>
                <w14:ligatures w14:val="none"/>
              </w:rPr>
              <w:t>Ministerio de Vivienda,</w:t>
            </w:r>
            <w:r w:rsidRPr="004D06D0">
              <w:rPr>
                <w:rFonts w:ascii="Verdana" w:hAnsi="Verdana" w:eastAsia="Times New Roman" w:cs="Times New Roman"/>
                <w:color w:val="000000"/>
                <w:kern w:val="0"/>
                <w:lang w:eastAsia="es-CO"/>
                <w14:ligatures w14:val="none"/>
              </w:rPr>
              <w:br/>
            </w:r>
            <w:r w:rsidRPr="004D06D0">
              <w:rPr>
                <w:rFonts w:ascii="Verdana" w:hAnsi="Verdana" w:eastAsia="Times New Roman" w:cs="Times New Roman"/>
                <w:color w:val="000000"/>
                <w:kern w:val="0"/>
                <w:lang w:eastAsia="es-CO"/>
                <w14:ligatures w14:val="none"/>
              </w:rPr>
              <w:t>Ciudad y Territorio /</w:t>
            </w:r>
            <w:r w:rsidRPr="004D06D0">
              <w:rPr>
                <w:rFonts w:ascii="Verdana" w:hAnsi="Verdana" w:eastAsia="Times New Roman" w:cs="Times New Roman"/>
                <w:color w:val="000000"/>
                <w:kern w:val="0"/>
                <w:lang w:eastAsia="es-CO"/>
                <w14:ligatures w14:val="none"/>
              </w:rPr>
              <w:br/>
            </w:r>
            <w:r w:rsidRPr="004D06D0">
              <w:rPr>
                <w:rFonts w:ascii="Verdana" w:hAnsi="Verdana" w:eastAsia="Times New Roman" w:cs="Times New Roman"/>
                <w:color w:val="000000"/>
                <w:kern w:val="0"/>
                <w:lang w:eastAsia="es-CO"/>
                <w14:ligatures w14:val="none"/>
              </w:rPr>
              <w:t>Alcaldías municipales</w:t>
            </w:r>
          </w:p>
        </w:tc>
        <w:tc>
          <w:tcPr>
            <w:tcW w:w="3000" w:type="dxa"/>
            <w:tcBorders>
              <w:top w:val="single" w:color="auto" w:sz="4" w:space="0"/>
              <w:left w:val="single" w:color="auto" w:sz="4" w:space="0"/>
              <w:bottom w:val="single" w:color="auto" w:sz="4" w:space="0"/>
              <w:right w:val="single" w:color="auto" w:sz="4" w:space="0"/>
            </w:tcBorders>
            <w:vAlign w:val="center"/>
            <w:hideMark/>
          </w:tcPr>
          <w:p w:rsidRPr="004D06D0" w:rsidR="00B61180" w:rsidP="00631238" w:rsidRDefault="00B61180" w14:paraId="37CDFDA5" w14:textId="77777777">
            <w:pPr>
              <w:spacing w:after="0" w:line="240" w:lineRule="auto"/>
              <w:rPr>
                <w:rFonts w:ascii="Times New Roman" w:hAnsi="Times New Roman" w:eastAsia="Times New Roman" w:cs="Times New Roman"/>
                <w:kern w:val="0"/>
                <w:sz w:val="24"/>
                <w:szCs w:val="24"/>
                <w:lang w:eastAsia="es-CO"/>
                <w14:ligatures w14:val="none"/>
              </w:rPr>
            </w:pPr>
            <w:r w:rsidRPr="004D06D0">
              <w:rPr>
                <w:rFonts w:ascii="Verdana" w:hAnsi="Verdana" w:eastAsia="Times New Roman" w:cs="Times New Roman"/>
                <w:color w:val="000000"/>
                <w:kern w:val="0"/>
                <w:lang w:eastAsia="es-CO"/>
                <w14:ligatures w14:val="none"/>
              </w:rPr>
              <w:t>Competencia municipal y</w:t>
            </w:r>
            <w:r w:rsidRPr="004D06D0">
              <w:rPr>
                <w:rFonts w:ascii="Verdana" w:hAnsi="Verdana" w:eastAsia="Times New Roman" w:cs="Times New Roman"/>
                <w:color w:val="000000"/>
                <w:kern w:val="0"/>
                <w:lang w:eastAsia="es-CO"/>
                <w14:ligatures w14:val="none"/>
              </w:rPr>
              <w:br/>
            </w:r>
            <w:r w:rsidRPr="004D06D0">
              <w:rPr>
                <w:rFonts w:ascii="Verdana" w:hAnsi="Verdana" w:eastAsia="Times New Roman" w:cs="Times New Roman"/>
                <w:color w:val="000000"/>
                <w:kern w:val="0"/>
                <w:lang w:eastAsia="es-CO"/>
                <w14:ligatures w14:val="none"/>
              </w:rPr>
              <w:t>sectorial conforme a la</w:t>
            </w:r>
            <w:r w:rsidRPr="004D06D0">
              <w:rPr>
                <w:rFonts w:ascii="Verdana" w:hAnsi="Verdana" w:eastAsia="Times New Roman" w:cs="Times New Roman"/>
                <w:color w:val="000000"/>
                <w:kern w:val="0"/>
                <w:lang w:eastAsia="es-CO"/>
                <w14:ligatures w14:val="none"/>
              </w:rPr>
              <w:br/>
            </w:r>
            <w:r w:rsidRPr="004D06D0">
              <w:rPr>
                <w:rFonts w:ascii="Verdana" w:hAnsi="Verdana" w:eastAsia="Times New Roman" w:cs="Times New Roman"/>
                <w:color w:val="000000"/>
                <w:kern w:val="0"/>
                <w:lang w:eastAsia="es-CO"/>
                <w14:ligatures w14:val="none"/>
              </w:rPr>
              <w:t>Ley 142 de 1994 y la Ley</w:t>
            </w:r>
            <w:r w:rsidRPr="004D06D0">
              <w:rPr>
                <w:rFonts w:ascii="Verdana" w:hAnsi="Verdana" w:eastAsia="Times New Roman" w:cs="Times New Roman"/>
                <w:color w:val="000000"/>
                <w:kern w:val="0"/>
                <w:lang w:eastAsia="es-CO"/>
                <w14:ligatures w14:val="none"/>
              </w:rPr>
              <w:br/>
            </w:r>
            <w:r w:rsidRPr="004D06D0">
              <w:rPr>
                <w:rFonts w:ascii="Verdana" w:hAnsi="Verdana" w:eastAsia="Times New Roman" w:cs="Times New Roman"/>
                <w:color w:val="000000"/>
                <w:kern w:val="0"/>
                <w:lang w:eastAsia="es-CO"/>
                <w14:ligatures w14:val="none"/>
              </w:rPr>
              <w:t>1176 de 2007.</w:t>
            </w:r>
          </w:p>
        </w:tc>
      </w:tr>
      <w:tr w:rsidRPr="004D06D0" w:rsidR="00B61180" w:rsidTr="00631238" w14:paraId="3F4369CE" w14:textId="77777777">
        <w:trPr>
          <w:jc w:val="center"/>
        </w:trPr>
        <w:tc>
          <w:tcPr>
            <w:tcW w:w="3000" w:type="dxa"/>
            <w:tcBorders>
              <w:top w:val="single" w:color="auto" w:sz="4" w:space="0"/>
              <w:left w:val="single" w:color="auto" w:sz="4" w:space="0"/>
              <w:bottom w:val="single" w:color="auto" w:sz="4" w:space="0"/>
              <w:right w:val="single" w:color="auto" w:sz="4" w:space="0"/>
            </w:tcBorders>
            <w:vAlign w:val="center"/>
            <w:hideMark/>
          </w:tcPr>
          <w:p w:rsidRPr="004D06D0" w:rsidR="00B61180" w:rsidP="00631238" w:rsidRDefault="00B61180" w14:paraId="34024C80" w14:textId="77777777">
            <w:pPr>
              <w:spacing w:after="0" w:line="240" w:lineRule="auto"/>
              <w:rPr>
                <w:rFonts w:ascii="Times New Roman" w:hAnsi="Times New Roman" w:eastAsia="Times New Roman" w:cs="Times New Roman"/>
                <w:kern w:val="0"/>
                <w:sz w:val="24"/>
                <w:szCs w:val="24"/>
                <w:lang w:eastAsia="es-CO"/>
                <w14:ligatures w14:val="none"/>
              </w:rPr>
            </w:pPr>
            <w:r w:rsidRPr="004D06D0">
              <w:rPr>
                <w:rFonts w:ascii="Verdana" w:hAnsi="Verdana" w:eastAsia="Times New Roman" w:cs="Times New Roman"/>
                <w:color w:val="000000"/>
                <w:kern w:val="0"/>
                <w:lang w:eastAsia="es-CO"/>
                <w14:ligatures w14:val="none"/>
              </w:rPr>
              <w:t>Manejo de residuos sólidos</w:t>
            </w:r>
            <w:r w:rsidRPr="004D06D0">
              <w:rPr>
                <w:rFonts w:ascii="Verdana" w:hAnsi="Verdana" w:eastAsia="Times New Roman" w:cs="Times New Roman"/>
                <w:color w:val="000000"/>
                <w:kern w:val="0"/>
                <w:lang w:eastAsia="es-CO"/>
                <w14:ligatures w14:val="none"/>
              </w:rPr>
              <w:br/>
            </w:r>
            <w:r w:rsidRPr="004D06D0">
              <w:rPr>
                <w:rFonts w:ascii="Verdana" w:hAnsi="Verdana" w:eastAsia="Times New Roman" w:cs="Times New Roman"/>
                <w:color w:val="000000"/>
                <w:kern w:val="0"/>
                <w:lang w:eastAsia="es-CO"/>
                <w14:ligatures w14:val="none"/>
              </w:rPr>
              <w:t xml:space="preserve">en área rural </w:t>
            </w:r>
          </w:p>
        </w:tc>
        <w:tc>
          <w:tcPr>
            <w:tcW w:w="3000" w:type="dxa"/>
            <w:tcBorders>
              <w:top w:val="single" w:color="auto" w:sz="4" w:space="0"/>
              <w:left w:val="single" w:color="auto" w:sz="4" w:space="0"/>
              <w:bottom w:val="single" w:color="auto" w:sz="4" w:space="0"/>
              <w:right w:val="single" w:color="auto" w:sz="4" w:space="0"/>
            </w:tcBorders>
            <w:vAlign w:val="center"/>
            <w:hideMark/>
          </w:tcPr>
          <w:p w:rsidRPr="004D06D0" w:rsidR="00B61180" w:rsidP="00631238" w:rsidRDefault="00B61180" w14:paraId="573D9DBF" w14:textId="77777777">
            <w:pPr>
              <w:spacing w:after="0" w:line="240" w:lineRule="auto"/>
              <w:rPr>
                <w:rFonts w:ascii="Times New Roman" w:hAnsi="Times New Roman" w:eastAsia="Times New Roman" w:cs="Times New Roman"/>
                <w:kern w:val="0"/>
                <w:sz w:val="24"/>
                <w:szCs w:val="24"/>
                <w:lang w:eastAsia="es-CO"/>
                <w14:ligatures w14:val="none"/>
              </w:rPr>
            </w:pPr>
            <w:r w:rsidRPr="004D06D0">
              <w:rPr>
                <w:rFonts w:ascii="Verdana" w:hAnsi="Verdana" w:eastAsia="Times New Roman" w:cs="Times New Roman"/>
                <w:color w:val="000000"/>
                <w:kern w:val="0"/>
                <w:lang w:eastAsia="es-CO"/>
                <w14:ligatures w14:val="none"/>
              </w:rPr>
              <w:t>Alcaldías municipales</w:t>
            </w:r>
          </w:p>
        </w:tc>
        <w:tc>
          <w:tcPr>
            <w:tcW w:w="3000" w:type="dxa"/>
            <w:tcBorders>
              <w:top w:val="single" w:color="auto" w:sz="4" w:space="0"/>
              <w:left w:val="single" w:color="auto" w:sz="4" w:space="0"/>
              <w:bottom w:val="single" w:color="auto" w:sz="4" w:space="0"/>
              <w:right w:val="single" w:color="auto" w:sz="4" w:space="0"/>
            </w:tcBorders>
            <w:vAlign w:val="center"/>
            <w:hideMark/>
          </w:tcPr>
          <w:p w:rsidRPr="004D06D0" w:rsidR="00B61180" w:rsidP="00631238" w:rsidRDefault="00B61180" w14:paraId="71D97AA8" w14:textId="77777777">
            <w:pPr>
              <w:spacing w:after="0" w:line="240" w:lineRule="auto"/>
              <w:rPr>
                <w:rFonts w:ascii="Times New Roman" w:hAnsi="Times New Roman" w:eastAsia="Times New Roman" w:cs="Times New Roman"/>
                <w:kern w:val="0"/>
                <w:sz w:val="24"/>
                <w:szCs w:val="24"/>
                <w:lang w:eastAsia="es-CO"/>
                <w14:ligatures w14:val="none"/>
              </w:rPr>
            </w:pPr>
            <w:r w:rsidRPr="004D06D0">
              <w:rPr>
                <w:rFonts w:ascii="Verdana" w:hAnsi="Verdana" w:eastAsia="Times New Roman" w:cs="Times New Roman"/>
                <w:color w:val="000000"/>
                <w:kern w:val="0"/>
                <w:lang w:eastAsia="es-CO"/>
                <w14:ligatures w14:val="none"/>
              </w:rPr>
              <w:t>Competencia municipal</w:t>
            </w:r>
            <w:r w:rsidRPr="004D06D0">
              <w:rPr>
                <w:rFonts w:ascii="Verdana" w:hAnsi="Verdana" w:eastAsia="Times New Roman" w:cs="Times New Roman"/>
                <w:color w:val="000000"/>
                <w:kern w:val="0"/>
                <w:lang w:eastAsia="es-CO"/>
                <w14:ligatures w14:val="none"/>
              </w:rPr>
              <w:br/>
            </w:r>
            <w:r w:rsidRPr="004D06D0">
              <w:rPr>
                <w:rFonts w:ascii="Verdana" w:hAnsi="Verdana" w:eastAsia="Times New Roman" w:cs="Times New Roman"/>
                <w:color w:val="000000"/>
                <w:kern w:val="0"/>
                <w:lang w:eastAsia="es-CO"/>
                <w14:ligatures w14:val="none"/>
              </w:rPr>
              <w:t>conforme a la Ley 142 de</w:t>
            </w:r>
            <w:r w:rsidRPr="004D06D0">
              <w:rPr>
                <w:rFonts w:ascii="Verdana" w:hAnsi="Verdana" w:eastAsia="Times New Roman" w:cs="Times New Roman"/>
                <w:color w:val="000000"/>
                <w:kern w:val="0"/>
                <w:lang w:eastAsia="es-CO"/>
                <w14:ligatures w14:val="none"/>
              </w:rPr>
              <w:br/>
            </w:r>
            <w:r w:rsidRPr="004D06D0">
              <w:rPr>
                <w:rFonts w:ascii="Verdana" w:hAnsi="Verdana" w:eastAsia="Times New Roman" w:cs="Times New Roman"/>
                <w:color w:val="000000"/>
                <w:kern w:val="0"/>
                <w:lang w:eastAsia="es-CO"/>
                <w14:ligatures w14:val="none"/>
              </w:rPr>
              <w:t>1994.</w:t>
            </w:r>
          </w:p>
        </w:tc>
      </w:tr>
      <w:tr w:rsidRPr="004D06D0" w:rsidR="00B61180" w:rsidTr="00631238" w14:paraId="2FBC075B" w14:textId="77777777">
        <w:trPr>
          <w:jc w:val="center"/>
        </w:trPr>
        <w:tc>
          <w:tcPr>
            <w:tcW w:w="3000" w:type="dxa"/>
            <w:tcBorders>
              <w:top w:val="single" w:color="auto" w:sz="4" w:space="0"/>
              <w:left w:val="single" w:color="auto" w:sz="4" w:space="0"/>
              <w:bottom w:val="single" w:color="auto" w:sz="4" w:space="0"/>
              <w:right w:val="single" w:color="auto" w:sz="4" w:space="0"/>
            </w:tcBorders>
            <w:vAlign w:val="center"/>
            <w:hideMark/>
          </w:tcPr>
          <w:p w:rsidRPr="004D06D0" w:rsidR="00B61180" w:rsidP="00631238" w:rsidRDefault="00B61180" w14:paraId="183ED789" w14:textId="77777777">
            <w:pPr>
              <w:spacing w:after="0" w:line="240" w:lineRule="auto"/>
              <w:rPr>
                <w:rFonts w:ascii="Times New Roman" w:hAnsi="Times New Roman" w:eastAsia="Times New Roman" w:cs="Times New Roman"/>
                <w:kern w:val="0"/>
                <w:sz w:val="24"/>
                <w:szCs w:val="24"/>
                <w:lang w:eastAsia="es-CO"/>
                <w14:ligatures w14:val="none"/>
              </w:rPr>
            </w:pPr>
            <w:r w:rsidRPr="004D06D0">
              <w:rPr>
                <w:rFonts w:ascii="Verdana" w:hAnsi="Verdana" w:eastAsia="Times New Roman" w:cs="Times New Roman"/>
                <w:color w:val="000000"/>
                <w:kern w:val="0"/>
                <w:lang w:eastAsia="es-CO"/>
                <w14:ligatures w14:val="none"/>
              </w:rPr>
              <w:t>Formación técnica y</w:t>
            </w:r>
            <w:r w:rsidRPr="004D06D0">
              <w:rPr>
                <w:rFonts w:ascii="Verdana" w:hAnsi="Verdana" w:eastAsia="Times New Roman" w:cs="Times New Roman"/>
                <w:color w:val="000000"/>
                <w:kern w:val="0"/>
                <w:lang w:eastAsia="es-CO"/>
                <w14:ligatures w14:val="none"/>
              </w:rPr>
              <w:br/>
            </w:r>
            <w:r w:rsidRPr="004D06D0">
              <w:rPr>
                <w:rFonts w:ascii="Verdana" w:hAnsi="Verdana" w:eastAsia="Times New Roman" w:cs="Times New Roman"/>
                <w:color w:val="000000"/>
                <w:kern w:val="0"/>
                <w:lang w:eastAsia="es-CO"/>
                <w14:ligatures w14:val="none"/>
              </w:rPr>
              <w:t>vocacional para jóvenes</w:t>
            </w:r>
            <w:r w:rsidRPr="004D06D0">
              <w:rPr>
                <w:rFonts w:ascii="Verdana" w:hAnsi="Verdana" w:eastAsia="Times New Roman" w:cs="Times New Roman"/>
                <w:color w:val="000000"/>
                <w:kern w:val="0"/>
                <w:lang w:eastAsia="es-CO"/>
                <w14:ligatures w14:val="none"/>
              </w:rPr>
              <w:br/>
            </w:r>
            <w:r w:rsidRPr="004D06D0">
              <w:rPr>
                <w:rFonts w:ascii="Verdana" w:hAnsi="Verdana" w:eastAsia="Times New Roman" w:cs="Times New Roman"/>
                <w:color w:val="000000"/>
                <w:kern w:val="0"/>
                <w:lang w:eastAsia="es-CO"/>
                <w14:ligatures w14:val="none"/>
              </w:rPr>
              <w:t>rurales</w:t>
            </w:r>
          </w:p>
        </w:tc>
        <w:tc>
          <w:tcPr>
            <w:tcW w:w="3000" w:type="dxa"/>
            <w:tcBorders>
              <w:top w:val="single" w:color="auto" w:sz="4" w:space="0"/>
              <w:left w:val="single" w:color="auto" w:sz="4" w:space="0"/>
              <w:bottom w:val="single" w:color="auto" w:sz="4" w:space="0"/>
              <w:right w:val="single" w:color="auto" w:sz="4" w:space="0"/>
            </w:tcBorders>
            <w:vAlign w:val="center"/>
            <w:hideMark/>
          </w:tcPr>
          <w:p w:rsidRPr="004D06D0" w:rsidR="00B61180" w:rsidP="00631238" w:rsidRDefault="00B61180" w14:paraId="3DDF5220" w14:textId="77777777">
            <w:pPr>
              <w:spacing w:after="0" w:line="240" w:lineRule="auto"/>
              <w:rPr>
                <w:rFonts w:ascii="Times New Roman" w:hAnsi="Times New Roman" w:eastAsia="Times New Roman" w:cs="Times New Roman"/>
                <w:kern w:val="0"/>
                <w:sz w:val="24"/>
                <w:szCs w:val="24"/>
                <w:lang w:eastAsia="es-CO"/>
                <w14:ligatures w14:val="none"/>
              </w:rPr>
            </w:pPr>
            <w:r w:rsidRPr="004D06D0">
              <w:rPr>
                <w:rFonts w:ascii="Verdana" w:hAnsi="Verdana" w:eastAsia="Times New Roman" w:cs="Times New Roman"/>
                <w:color w:val="000000"/>
                <w:kern w:val="0"/>
                <w:lang w:eastAsia="es-CO"/>
                <w14:ligatures w14:val="none"/>
              </w:rPr>
              <w:t>SENA</w:t>
            </w:r>
          </w:p>
        </w:tc>
        <w:tc>
          <w:tcPr>
            <w:tcW w:w="3000" w:type="dxa"/>
            <w:tcBorders>
              <w:top w:val="single" w:color="auto" w:sz="4" w:space="0"/>
              <w:left w:val="single" w:color="auto" w:sz="4" w:space="0"/>
              <w:bottom w:val="single" w:color="auto" w:sz="4" w:space="0"/>
              <w:right w:val="single" w:color="auto" w:sz="4" w:space="0"/>
            </w:tcBorders>
            <w:vAlign w:val="center"/>
            <w:hideMark/>
          </w:tcPr>
          <w:p w:rsidRPr="004D06D0" w:rsidR="00B61180" w:rsidP="00631238" w:rsidRDefault="00B61180" w14:paraId="3B5E67AC" w14:textId="77777777">
            <w:pPr>
              <w:spacing w:after="0" w:line="240" w:lineRule="auto"/>
              <w:rPr>
                <w:rFonts w:ascii="Times New Roman" w:hAnsi="Times New Roman" w:eastAsia="Times New Roman" w:cs="Times New Roman"/>
                <w:kern w:val="0"/>
                <w:sz w:val="24"/>
                <w:szCs w:val="24"/>
                <w:lang w:eastAsia="es-CO"/>
                <w14:ligatures w14:val="none"/>
              </w:rPr>
            </w:pPr>
            <w:r w:rsidRPr="004D06D0">
              <w:rPr>
                <w:rFonts w:ascii="Verdana" w:hAnsi="Verdana" w:eastAsia="Times New Roman" w:cs="Times New Roman"/>
                <w:color w:val="000000"/>
                <w:kern w:val="0"/>
                <w:lang w:eastAsia="es-CO"/>
                <w14:ligatures w14:val="none"/>
              </w:rPr>
              <w:t>Competencia exclusiva</w:t>
            </w:r>
            <w:r w:rsidRPr="004D06D0">
              <w:rPr>
                <w:rFonts w:ascii="Verdana" w:hAnsi="Verdana" w:eastAsia="Times New Roman" w:cs="Times New Roman"/>
                <w:color w:val="000000"/>
                <w:kern w:val="0"/>
                <w:lang w:eastAsia="es-CO"/>
                <w14:ligatures w14:val="none"/>
              </w:rPr>
              <w:br/>
            </w:r>
            <w:r w:rsidRPr="004D06D0">
              <w:rPr>
                <w:rFonts w:ascii="Verdana" w:hAnsi="Verdana" w:eastAsia="Times New Roman" w:cs="Times New Roman"/>
                <w:color w:val="000000"/>
                <w:kern w:val="0"/>
                <w:lang w:eastAsia="es-CO"/>
                <w14:ligatures w14:val="none"/>
              </w:rPr>
              <w:t>conforme a la Ley 119 de</w:t>
            </w:r>
            <w:r w:rsidRPr="004D06D0">
              <w:rPr>
                <w:rFonts w:ascii="Verdana" w:hAnsi="Verdana" w:eastAsia="Times New Roman" w:cs="Times New Roman"/>
                <w:color w:val="000000"/>
                <w:kern w:val="0"/>
                <w:lang w:eastAsia="es-CO"/>
                <w14:ligatures w14:val="none"/>
              </w:rPr>
              <w:br/>
            </w:r>
            <w:r w:rsidRPr="004D06D0">
              <w:rPr>
                <w:rFonts w:ascii="Verdana" w:hAnsi="Verdana" w:eastAsia="Times New Roman" w:cs="Times New Roman"/>
                <w:color w:val="000000"/>
                <w:kern w:val="0"/>
                <w:lang w:eastAsia="es-CO"/>
                <w14:ligatures w14:val="none"/>
              </w:rPr>
              <w:t>1994; excede el objeto</w:t>
            </w:r>
            <w:r w:rsidRPr="004D06D0">
              <w:rPr>
                <w:rFonts w:ascii="Verdana" w:hAnsi="Verdana" w:eastAsia="Times New Roman" w:cs="Times New Roman"/>
                <w:color w:val="000000"/>
                <w:kern w:val="0"/>
                <w:lang w:eastAsia="es-CO"/>
                <w14:ligatures w14:val="none"/>
              </w:rPr>
              <w:br/>
            </w:r>
            <w:r w:rsidRPr="004D06D0">
              <w:rPr>
                <w:rFonts w:ascii="Verdana" w:hAnsi="Verdana" w:eastAsia="Times New Roman" w:cs="Times New Roman"/>
                <w:color w:val="000000"/>
                <w:kern w:val="0"/>
                <w:lang w:eastAsia="es-CO"/>
                <w14:ligatures w14:val="none"/>
              </w:rPr>
              <w:t>del acto administrativo</w:t>
            </w:r>
            <w:r w:rsidRPr="004D06D0">
              <w:rPr>
                <w:rFonts w:ascii="Verdana" w:hAnsi="Verdana" w:eastAsia="Times New Roman" w:cs="Times New Roman"/>
                <w:color w:val="000000"/>
                <w:kern w:val="0"/>
                <w:lang w:eastAsia="es-CO"/>
                <w14:ligatures w14:val="none"/>
              </w:rPr>
              <w:br/>
            </w:r>
            <w:r w:rsidRPr="004D06D0">
              <w:rPr>
                <w:rFonts w:ascii="Verdana" w:hAnsi="Verdana" w:eastAsia="Times New Roman" w:cs="Times New Roman"/>
                <w:color w:val="000000"/>
                <w:kern w:val="0"/>
                <w:lang w:eastAsia="es-CO"/>
                <w14:ligatures w14:val="none"/>
              </w:rPr>
              <w:t>de delimitación.</w:t>
            </w:r>
          </w:p>
        </w:tc>
      </w:tr>
      <w:tr w:rsidRPr="004D06D0" w:rsidR="00B61180" w:rsidTr="00631238" w14:paraId="3DFB5BE7" w14:textId="77777777">
        <w:trPr>
          <w:jc w:val="center"/>
        </w:trPr>
        <w:tc>
          <w:tcPr>
            <w:tcW w:w="3000" w:type="dxa"/>
            <w:tcBorders>
              <w:top w:val="single" w:color="auto" w:sz="4" w:space="0"/>
              <w:left w:val="single" w:color="auto" w:sz="4" w:space="0"/>
              <w:bottom w:val="single" w:color="auto" w:sz="4" w:space="0"/>
              <w:right w:val="single" w:color="auto" w:sz="4" w:space="0"/>
            </w:tcBorders>
            <w:vAlign w:val="center"/>
            <w:hideMark/>
          </w:tcPr>
          <w:p w:rsidRPr="004D06D0" w:rsidR="00B61180" w:rsidP="00631238" w:rsidRDefault="00B61180" w14:paraId="5B72E7AD" w14:textId="77777777">
            <w:pPr>
              <w:spacing w:after="0" w:line="240" w:lineRule="auto"/>
              <w:rPr>
                <w:rFonts w:ascii="Times New Roman" w:hAnsi="Times New Roman" w:eastAsia="Times New Roman" w:cs="Times New Roman"/>
                <w:kern w:val="0"/>
                <w:sz w:val="24"/>
                <w:szCs w:val="24"/>
                <w:lang w:eastAsia="es-CO"/>
                <w14:ligatures w14:val="none"/>
              </w:rPr>
            </w:pPr>
            <w:r w:rsidRPr="004D06D0">
              <w:rPr>
                <w:rFonts w:ascii="Verdana" w:hAnsi="Verdana" w:eastAsia="Times New Roman" w:cs="Times New Roman"/>
                <w:color w:val="000000"/>
                <w:kern w:val="0"/>
                <w:lang w:eastAsia="es-CO"/>
                <w14:ligatures w14:val="none"/>
              </w:rPr>
              <w:t>Acompañamiento técnico en</w:t>
            </w:r>
            <w:r w:rsidRPr="004D06D0">
              <w:rPr>
                <w:rFonts w:ascii="Verdana" w:hAnsi="Verdana" w:eastAsia="Times New Roman" w:cs="Times New Roman"/>
                <w:color w:val="000000"/>
                <w:kern w:val="0"/>
                <w:lang w:eastAsia="es-CO"/>
                <w14:ligatures w14:val="none"/>
              </w:rPr>
              <w:br/>
            </w:r>
            <w:r w:rsidRPr="004D06D0">
              <w:rPr>
                <w:rFonts w:ascii="Verdana" w:hAnsi="Verdana" w:eastAsia="Times New Roman" w:cs="Times New Roman"/>
                <w:color w:val="000000"/>
                <w:kern w:val="0"/>
                <w:lang w:eastAsia="es-CO"/>
                <w14:ligatures w14:val="none"/>
              </w:rPr>
              <w:t>reconversión y sustitución</w:t>
            </w:r>
            <w:r w:rsidRPr="004D06D0">
              <w:rPr>
                <w:rFonts w:ascii="Verdana" w:hAnsi="Verdana" w:eastAsia="Times New Roman" w:cs="Times New Roman"/>
                <w:color w:val="000000"/>
                <w:kern w:val="0"/>
                <w:lang w:eastAsia="es-CO"/>
                <w14:ligatures w14:val="none"/>
              </w:rPr>
              <w:br/>
            </w:r>
            <w:r w:rsidRPr="004D06D0">
              <w:rPr>
                <w:rFonts w:ascii="Verdana" w:hAnsi="Verdana" w:eastAsia="Times New Roman" w:cs="Times New Roman"/>
                <w:color w:val="000000"/>
                <w:kern w:val="0"/>
                <w:lang w:eastAsia="es-CO"/>
                <w14:ligatures w14:val="none"/>
              </w:rPr>
              <w:t>de actividades</w:t>
            </w:r>
            <w:r w:rsidRPr="004D06D0">
              <w:rPr>
                <w:rFonts w:ascii="Verdana" w:hAnsi="Verdana" w:eastAsia="Times New Roman" w:cs="Times New Roman"/>
                <w:color w:val="000000"/>
                <w:kern w:val="0"/>
                <w:lang w:eastAsia="es-CO"/>
                <w14:ligatures w14:val="none"/>
              </w:rPr>
              <w:br/>
            </w:r>
            <w:r w:rsidRPr="004D06D0">
              <w:rPr>
                <w:rFonts w:ascii="Verdana" w:hAnsi="Verdana" w:eastAsia="Times New Roman" w:cs="Times New Roman"/>
                <w:color w:val="000000"/>
                <w:kern w:val="0"/>
                <w:lang w:eastAsia="es-CO"/>
                <w14:ligatures w14:val="none"/>
              </w:rPr>
              <w:t>agropecuarias</w:t>
            </w:r>
          </w:p>
        </w:tc>
        <w:tc>
          <w:tcPr>
            <w:tcW w:w="3000" w:type="dxa"/>
            <w:tcBorders>
              <w:top w:val="single" w:color="auto" w:sz="4" w:space="0"/>
              <w:left w:val="single" w:color="auto" w:sz="4" w:space="0"/>
              <w:bottom w:val="single" w:color="auto" w:sz="4" w:space="0"/>
              <w:right w:val="single" w:color="auto" w:sz="4" w:space="0"/>
            </w:tcBorders>
            <w:vAlign w:val="center"/>
            <w:hideMark/>
          </w:tcPr>
          <w:p w:rsidRPr="004D06D0" w:rsidR="00B61180" w:rsidP="00631238" w:rsidRDefault="00B61180" w14:paraId="622ECBD6" w14:textId="77777777">
            <w:pPr>
              <w:spacing w:after="0" w:line="240" w:lineRule="auto"/>
              <w:rPr>
                <w:rFonts w:ascii="Times New Roman" w:hAnsi="Times New Roman" w:eastAsia="Times New Roman" w:cs="Times New Roman"/>
                <w:kern w:val="0"/>
                <w:sz w:val="24"/>
                <w:szCs w:val="24"/>
                <w:lang w:eastAsia="es-CO"/>
                <w14:ligatures w14:val="none"/>
              </w:rPr>
            </w:pPr>
            <w:r w:rsidRPr="004D06D0">
              <w:rPr>
                <w:rFonts w:ascii="Verdana" w:hAnsi="Verdana" w:eastAsia="Times New Roman" w:cs="Times New Roman"/>
                <w:color w:val="000000"/>
                <w:kern w:val="0"/>
                <w:lang w:eastAsia="es-CO"/>
                <w14:ligatures w14:val="none"/>
              </w:rPr>
              <w:t>Ministerio de Agricultura</w:t>
            </w:r>
            <w:r w:rsidRPr="004D06D0">
              <w:rPr>
                <w:rFonts w:ascii="Verdana" w:hAnsi="Verdana" w:eastAsia="Times New Roman" w:cs="Times New Roman"/>
                <w:color w:val="000000"/>
                <w:kern w:val="0"/>
                <w:lang w:eastAsia="es-CO"/>
                <w14:ligatures w14:val="none"/>
              </w:rPr>
              <w:br/>
            </w:r>
            <w:r w:rsidRPr="004D06D0">
              <w:rPr>
                <w:rFonts w:ascii="Verdana" w:hAnsi="Verdana" w:eastAsia="Times New Roman" w:cs="Times New Roman"/>
                <w:color w:val="000000"/>
                <w:kern w:val="0"/>
                <w:lang w:eastAsia="es-CO"/>
                <w14:ligatures w14:val="none"/>
              </w:rPr>
              <w:t>y Desarrollo Rural</w:t>
            </w:r>
          </w:p>
        </w:tc>
        <w:tc>
          <w:tcPr>
            <w:tcW w:w="3000" w:type="dxa"/>
            <w:tcBorders>
              <w:top w:val="single" w:color="auto" w:sz="4" w:space="0"/>
              <w:left w:val="single" w:color="auto" w:sz="4" w:space="0"/>
              <w:bottom w:val="single" w:color="auto" w:sz="4" w:space="0"/>
              <w:right w:val="single" w:color="auto" w:sz="4" w:space="0"/>
            </w:tcBorders>
            <w:vAlign w:val="center"/>
            <w:hideMark/>
          </w:tcPr>
          <w:p w:rsidRPr="004D06D0" w:rsidR="00B61180" w:rsidP="00631238" w:rsidRDefault="00B61180" w14:paraId="384EB17A" w14:textId="77777777">
            <w:pPr>
              <w:spacing w:after="0" w:line="240" w:lineRule="auto"/>
              <w:rPr>
                <w:rFonts w:ascii="Times New Roman" w:hAnsi="Times New Roman" w:eastAsia="Times New Roman" w:cs="Times New Roman"/>
                <w:kern w:val="0"/>
                <w:sz w:val="24"/>
                <w:szCs w:val="24"/>
                <w:lang w:eastAsia="es-CO"/>
                <w14:ligatures w14:val="none"/>
              </w:rPr>
            </w:pPr>
            <w:r w:rsidRPr="004D06D0">
              <w:rPr>
                <w:rFonts w:ascii="Verdana" w:hAnsi="Verdana" w:eastAsia="Times New Roman" w:cs="Times New Roman"/>
                <w:color w:val="000000"/>
                <w:kern w:val="0"/>
                <w:lang w:eastAsia="es-CO"/>
                <w14:ligatures w14:val="none"/>
              </w:rPr>
              <w:t>Concurrencia prevista en</w:t>
            </w:r>
            <w:r w:rsidRPr="004D06D0">
              <w:rPr>
                <w:rFonts w:ascii="Verdana" w:hAnsi="Verdana" w:eastAsia="Times New Roman" w:cs="Times New Roman"/>
                <w:color w:val="000000"/>
                <w:kern w:val="0"/>
                <w:lang w:eastAsia="es-CO"/>
                <w14:ligatures w14:val="none"/>
              </w:rPr>
              <w:br/>
            </w:r>
            <w:r w:rsidRPr="004D06D0">
              <w:rPr>
                <w:rFonts w:ascii="Verdana" w:hAnsi="Verdana" w:eastAsia="Times New Roman" w:cs="Times New Roman"/>
                <w:color w:val="000000"/>
                <w:kern w:val="0"/>
                <w:lang w:eastAsia="es-CO"/>
                <w14:ligatures w14:val="none"/>
              </w:rPr>
              <w:t>la Ley 1930 de 2018, en</w:t>
            </w:r>
            <w:r w:rsidRPr="004D06D0">
              <w:rPr>
                <w:rFonts w:ascii="Verdana" w:hAnsi="Verdana" w:eastAsia="Times New Roman" w:cs="Times New Roman"/>
                <w:color w:val="000000"/>
                <w:kern w:val="0"/>
                <w:lang w:eastAsia="es-CO"/>
                <w14:ligatures w14:val="none"/>
              </w:rPr>
              <w:br/>
            </w:r>
            <w:r w:rsidRPr="004D06D0">
              <w:rPr>
                <w:rFonts w:ascii="Verdana" w:hAnsi="Verdana" w:eastAsia="Times New Roman" w:cs="Times New Roman"/>
                <w:color w:val="000000"/>
                <w:kern w:val="0"/>
                <w:lang w:eastAsia="es-CO"/>
                <w14:ligatures w14:val="none"/>
              </w:rPr>
              <w:t>coordinación con las</w:t>
            </w:r>
            <w:r w:rsidRPr="004D06D0">
              <w:rPr>
                <w:rFonts w:ascii="Verdana" w:hAnsi="Verdana" w:eastAsia="Times New Roman" w:cs="Times New Roman"/>
                <w:color w:val="000000"/>
                <w:kern w:val="0"/>
                <w:lang w:eastAsia="es-CO"/>
                <w14:ligatures w14:val="none"/>
              </w:rPr>
              <w:br/>
            </w:r>
            <w:r w:rsidRPr="004D06D0">
              <w:rPr>
                <w:rFonts w:ascii="Verdana" w:hAnsi="Verdana" w:eastAsia="Times New Roman" w:cs="Times New Roman"/>
                <w:color w:val="000000"/>
                <w:kern w:val="0"/>
                <w:lang w:eastAsia="es-CO"/>
                <w14:ligatures w14:val="none"/>
              </w:rPr>
              <w:t>autoridades ambientales</w:t>
            </w:r>
            <w:r w:rsidRPr="004D06D0">
              <w:rPr>
                <w:rFonts w:ascii="Verdana" w:hAnsi="Verdana" w:eastAsia="Times New Roman" w:cs="Times New Roman"/>
                <w:color w:val="000000"/>
                <w:kern w:val="0"/>
                <w:lang w:eastAsia="es-CO"/>
                <w14:ligatures w14:val="none"/>
              </w:rPr>
              <w:br/>
            </w:r>
            <w:r w:rsidRPr="004D06D0">
              <w:rPr>
                <w:rFonts w:ascii="Verdana" w:hAnsi="Verdana" w:eastAsia="Times New Roman" w:cs="Times New Roman"/>
                <w:color w:val="000000"/>
                <w:kern w:val="0"/>
                <w:lang w:eastAsia="es-CO"/>
                <w14:ligatures w14:val="none"/>
              </w:rPr>
              <w:t>y bajo directrices del</w:t>
            </w:r>
            <w:r w:rsidRPr="004D06D0">
              <w:rPr>
                <w:rFonts w:ascii="Verdana" w:hAnsi="Verdana" w:eastAsia="Times New Roman" w:cs="Times New Roman"/>
                <w:color w:val="000000"/>
                <w:kern w:val="0"/>
                <w:lang w:eastAsia="es-CO"/>
                <w14:ligatures w14:val="none"/>
              </w:rPr>
              <w:br/>
            </w:r>
            <w:r w:rsidRPr="004D06D0">
              <w:rPr>
                <w:rFonts w:ascii="Verdana" w:hAnsi="Verdana" w:eastAsia="Times New Roman" w:cs="Times New Roman"/>
                <w:color w:val="000000"/>
                <w:kern w:val="0"/>
                <w:lang w:eastAsia="es-CO"/>
                <w14:ligatures w14:val="none"/>
              </w:rPr>
              <w:t>MADS.</w:t>
            </w:r>
          </w:p>
        </w:tc>
      </w:tr>
      <w:tr w:rsidRPr="004D06D0" w:rsidR="00B61180" w:rsidTr="00631238" w14:paraId="0E7B5858" w14:textId="77777777">
        <w:trPr>
          <w:jc w:val="center"/>
        </w:trPr>
        <w:tc>
          <w:tcPr>
            <w:tcW w:w="3000" w:type="dxa"/>
            <w:tcBorders>
              <w:top w:val="single" w:color="auto" w:sz="4" w:space="0"/>
              <w:left w:val="single" w:color="auto" w:sz="4" w:space="0"/>
              <w:bottom w:val="single" w:color="auto" w:sz="4" w:space="0"/>
              <w:right w:val="single" w:color="auto" w:sz="4" w:space="0"/>
            </w:tcBorders>
            <w:vAlign w:val="center"/>
            <w:hideMark/>
          </w:tcPr>
          <w:p w:rsidRPr="004D06D0" w:rsidR="00B61180" w:rsidP="00631238" w:rsidRDefault="00B61180" w14:paraId="6F018ACD" w14:textId="77777777">
            <w:pPr>
              <w:spacing w:after="0" w:line="240" w:lineRule="auto"/>
              <w:rPr>
                <w:rFonts w:ascii="Times New Roman" w:hAnsi="Times New Roman" w:eastAsia="Times New Roman" w:cs="Times New Roman"/>
                <w:kern w:val="0"/>
                <w:sz w:val="24"/>
                <w:szCs w:val="24"/>
                <w:lang w:eastAsia="es-CO"/>
                <w14:ligatures w14:val="none"/>
              </w:rPr>
            </w:pPr>
            <w:r w:rsidRPr="004D06D0">
              <w:rPr>
                <w:rFonts w:ascii="Verdana" w:hAnsi="Verdana" w:eastAsia="Times New Roman" w:cs="Times New Roman"/>
                <w:color w:val="000000"/>
                <w:kern w:val="0"/>
                <w:lang w:eastAsia="es-CO"/>
                <w14:ligatures w14:val="none"/>
              </w:rPr>
              <w:t>Capacidad de carga turística</w:t>
            </w:r>
            <w:r w:rsidRPr="004D06D0">
              <w:rPr>
                <w:rFonts w:ascii="Verdana" w:hAnsi="Verdana" w:eastAsia="Times New Roman" w:cs="Times New Roman"/>
                <w:color w:val="000000"/>
                <w:kern w:val="0"/>
                <w:lang w:eastAsia="es-CO"/>
                <w14:ligatures w14:val="none"/>
              </w:rPr>
              <w:br/>
            </w:r>
            <w:r w:rsidRPr="004D06D0">
              <w:rPr>
                <w:rFonts w:ascii="Verdana" w:hAnsi="Verdana" w:eastAsia="Times New Roman" w:cs="Times New Roman"/>
                <w:color w:val="000000"/>
                <w:kern w:val="0"/>
                <w:lang w:eastAsia="es-CO"/>
                <w14:ligatures w14:val="none"/>
              </w:rPr>
              <w:t>y regulación del turismo</w:t>
            </w:r>
          </w:p>
        </w:tc>
        <w:tc>
          <w:tcPr>
            <w:tcW w:w="3000" w:type="dxa"/>
            <w:tcBorders>
              <w:top w:val="single" w:color="auto" w:sz="4" w:space="0"/>
              <w:left w:val="single" w:color="auto" w:sz="4" w:space="0"/>
              <w:bottom w:val="single" w:color="auto" w:sz="4" w:space="0"/>
              <w:right w:val="single" w:color="auto" w:sz="4" w:space="0"/>
            </w:tcBorders>
            <w:vAlign w:val="center"/>
            <w:hideMark/>
          </w:tcPr>
          <w:p w:rsidRPr="004D06D0" w:rsidR="00B61180" w:rsidP="00631238" w:rsidRDefault="00B61180" w14:paraId="2936CB2B" w14:textId="77777777">
            <w:pPr>
              <w:spacing w:after="0" w:line="240" w:lineRule="auto"/>
              <w:rPr>
                <w:rFonts w:ascii="Times New Roman" w:hAnsi="Times New Roman" w:eastAsia="Times New Roman" w:cs="Times New Roman"/>
                <w:kern w:val="0"/>
                <w:sz w:val="24"/>
                <w:szCs w:val="24"/>
                <w:lang w:eastAsia="es-CO"/>
                <w14:ligatures w14:val="none"/>
              </w:rPr>
            </w:pPr>
            <w:r w:rsidRPr="004D06D0">
              <w:rPr>
                <w:rFonts w:ascii="Verdana" w:hAnsi="Verdana" w:eastAsia="Times New Roman" w:cs="Times New Roman"/>
                <w:color w:val="000000"/>
                <w:kern w:val="0"/>
                <w:lang w:eastAsia="es-CO"/>
                <w14:ligatures w14:val="none"/>
              </w:rPr>
              <w:t>Autoridades ambientales</w:t>
            </w:r>
            <w:r w:rsidRPr="004D06D0">
              <w:rPr>
                <w:rFonts w:ascii="Verdana" w:hAnsi="Verdana" w:eastAsia="Times New Roman" w:cs="Times New Roman"/>
                <w:color w:val="000000"/>
                <w:kern w:val="0"/>
                <w:lang w:eastAsia="es-CO"/>
                <w14:ligatures w14:val="none"/>
              </w:rPr>
              <w:br/>
            </w:r>
            <w:r w:rsidRPr="004D06D0">
              <w:rPr>
                <w:rFonts w:ascii="Verdana" w:hAnsi="Verdana" w:eastAsia="Times New Roman" w:cs="Times New Roman"/>
                <w:color w:val="000000"/>
                <w:kern w:val="0"/>
                <w:lang w:eastAsia="es-CO"/>
                <w14:ligatures w14:val="none"/>
              </w:rPr>
              <w:t>con jurisdicción</w:t>
            </w:r>
          </w:p>
        </w:tc>
        <w:tc>
          <w:tcPr>
            <w:tcW w:w="3000" w:type="dxa"/>
            <w:tcBorders>
              <w:top w:val="single" w:color="auto" w:sz="4" w:space="0"/>
              <w:left w:val="single" w:color="auto" w:sz="4" w:space="0"/>
              <w:bottom w:val="single" w:color="auto" w:sz="4" w:space="0"/>
              <w:right w:val="single" w:color="auto" w:sz="4" w:space="0"/>
            </w:tcBorders>
            <w:vAlign w:val="center"/>
            <w:hideMark/>
          </w:tcPr>
          <w:p w:rsidRPr="004D06D0" w:rsidR="00B61180" w:rsidP="00631238" w:rsidRDefault="00B61180" w14:paraId="361CEB4A" w14:textId="77777777">
            <w:pPr>
              <w:spacing w:after="0" w:line="240" w:lineRule="auto"/>
              <w:rPr>
                <w:rFonts w:ascii="Times New Roman" w:hAnsi="Times New Roman" w:eastAsia="Times New Roman" w:cs="Times New Roman"/>
                <w:kern w:val="0"/>
                <w:sz w:val="24"/>
                <w:szCs w:val="24"/>
                <w:lang w:eastAsia="es-CO"/>
                <w14:ligatures w14:val="none"/>
              </w:rPr>
            </w:pPr>
            <w:r w:rsidRPr="004D06D0">
              <w:rPr>
                <w:rFonts w:ascii="Verdana" w:hAnsi="Verdana" w:eastAsia="Times New Roman" w:cs="Times New Roman"/>
                <w:color w:val="000000"/>
                <w:kern w:val="0"/>
                <w:lang w:eastAsia="es-CO"/>
                <w14:ligatures w14:val="none"/>
              </w:rPr>
              <w:t>El análisis de capacidad</w:t>
            </w:r>
            <w:r w:rsidRPr="004D06D0">
              <w:rPr>
                <w:rFonts w:ascii="Verdana" w:hAnsi="Verdana" w:eastAsia="Times New Roman" w:cs="Times New Roman"/>
                <w:color w:val="000000"/>
                <w:kern w:val="0"/>
                <w:lang w:eastAsia="es-CO"/>
                <w14:ligatures w14:val="none"/>
              </w:rPr>
              <w:br/>
            </w:r>
            <w:r w:rsidRPr="004D06D0">
              <w:rPr>
                <w:rFonts w:ascii="Verdana" w:hAnsi="Verdana" w:eastAsia="Times New Roman" w:cs="Times New Roman"/>
                <w:color w:val="000000"/>
                <w:kern w:val="0"/>
                <w:lang w:eastAsia="es-CO"/>
                <w14:ligatures w14:val="none"/>
              </w:rPr>
              <w:t>de carga es competencia</w:t>
            </w:r>
            <w:r w:rsidRPr="004D06D0">
              <w:rPr>
                <w:rFonts w:ascii="Verdana" w:hAnsi="Verdana" w:eastAsia="Times New Roman" w:cs="Times New Roman"/>
                <w:color w:val="000000"/>
                <w:kern w:val="0"/>
                <w:lang w:eastAsia="es-CO"/>
                <w14:ligatures w14:val="none"/>
              </w:rPr>
              <w:br/>
            </w:r>
            <w:r w:rsidRPr="004D06D0">
              <w:rPr>
                <w:rFonts w:ascii="Verdana" w:hAnsi="Verdana" w:eastAsia="Times New Roman" w:cs="Times New Roman"/>
                <w:color w:val="000000"/>
                <w:kern w:val="0"/>
                <w:lang w:eastAsia="es-CO"/>
                <w14:ligatures w14:val="none"/>
              </w:rPr>
              <w:t>de las autoridades</w:t>
            </w:r>
            <w:r w:rsidRPr="004D06D0">
              <w:rPr>
                <w:rFonts w:ascii="Verdana" w:hAnsi="Verdana" w:eastAsia="Times New Roman" w:cs="Times New Roman"/>
                <w:color w:val="000000"/>
                <w:kern w:val="0"/>
                <w:lang w:eastAsia="es-CO"/>
                <w14:ligatures w14:val="none"/>
              </w:rPr>
              <w:br/>
            </w:r>
            <w:r w:rsidRPr="004D06D0">
              <w:rPr>
                <w:rFonts w:ascii="Verdana" w:hAnsi="Verdana" w:eastAsia="Times New Roman" w:cs="Times New Roman"/>
                <w:color w:val="000000"/>
                <w:kern w:val="0"/>
                <w:lang w:eastAsia="es-CO"/>
                <w14:ligatures w14:val="none"/>
              </w:rPr>
              <w:t>ambientales en el marco</w:t>
            </w:r>
            <w:r w:rsidRPr="004D06D0">
              <w:rPr>
                <w:rFonts w:ascii="Verdana" w:hAnsi="Verdana" w:eastAsia="Times New Roman" w:cs="Times New Roman"/>
                <w:color w:val="000000"/>
                <w:kern w:val="0"/>
                <w:lang w:eastAsia="es-CO"/>
                <w14:ligatures w14:val="none"/>
              </w:rPr>
              <w:br/>
            </w:r>
            <w:r w:rsidRPr="004D06D0">
              <w:rPr>
                <w:rFonts w:ascii="Verdana" w:hAnsi="Verdana" w:eastAsia="Times New Roman" w:cs="Times New Roman"/>
                <w:color w:val="000000"/>
                <w:kern w:val="0"/>
                <w:lang w:eastAsia="es-CO"/>
                <w14:ligatures w14:val="none"/>
              </w:rPr>
              <w:t>de sus instrumentos de</w:t>
            </w:r>
            <w:r w:rsidRPr="004D06D0">
              <w:rPr>
                <w:rFonts w:ascii="Verdana" w:hAnsi="Verdana" w:eastAsia="Times New Roman" w:cs="Times New Roman"/>
                <w:color w:val="000000"/>
                <w:kern w:val="0"/>
                <w:lang w:eastAsia="es-CO"/>
                <w14:ligatures w14:val="none"/>
              </w:rPr>
              <w:br/>
            </w:r>
            <w:r w:rsidRPr="004D06D0">
              <w:rPr>
                <w:rFonts w:ascii="Verdana" w:hAnsi="Verdana" w:eastAsia="Times New Roman" w:cs="Times New Roman"/>
                <w:color w:val="000000"/>
                <w:kern w:val="0"/>
                <w:lang w:eastAsia="es-CO"/>
                <w14:ligatures w14:val="none"/>
              </w:rPr>
              <w:t>ordenamiento y manejo</w:t>
            </w:r>
            <w:r w:rsidRPr="004D06D0">
              <w:rPr>
                <w:rFonts w:ascii="Verdana" w:hAnsi="Verdana" w:eastAsia="Times New Roman" w:cs="Times New Roman"/>
                <w:color w:val="000000"/>
                <w:kern w:val="0"/>
                <w:lang w:eastAsia="es-CO"/>
                <w14:ligatures w14:val="none"/>
              </w:rPr>
              <w:br/>
            </w:r>
            <w:r w:rsidRPr="004D06D0">
              <w:rPr>
                <w:rFonts w:ascii="Verdana" w:hAnsi="Verdana" w:eastAsia="Times New Roman" w:cs="Times New Roman"/>
                <w:color w:val="000000"/>
                <w:kern w:val="0"/>
                <w:lang w:eastAsia="es-CO"/>
                <w14:ligatures w14:val="none"/>
              </w:rPr>
              <w:t>del territorio.</w:t>
            </w:r>
          </w:p>
        </w:tc>
      </w:tr>
      <w:tr w:rsidRPr="004D06D0" w:rsidR="00B61180" w:rsidTr="00631238" w14:paraId="35F4932B" w14:textId="77777777">
        <w:trPr>
          <w:jc w:val="center"/>
        </w:trPr>
        <w:tc>
          <w:tcPr>
            <w:tcW w:w="3000" w:type="dxa"/>
            <w:tcBorders>
              <w:top w:val="single" w:color="auto" w:sz="4" w:space="0"/>
              <w:left w:val="single" w:color="auto" w:sz="4" w:space="0"/>
              <w:bottom w:val="single" w:color="auto" w:sz="4" w:space="0"/>
              <w:right w:val="single" w:color="auto" w:sz="4" w:space="0"/>
            </w:tcBorders>
            <w:vAlign w:val="center"/>
            <w:hideMark/>
          </w:tcPr>
          <w:p w:rsidRPr="004D06D0" w:rsidR="00B61180" w:rsidP="00631238" w:rsidRDefault="00B61180" w14:paraId="2CF8CF02" w14:textId="77777777">
            <w:pPr>
              <w:spacing w:after="0" w:line="240" w:lineRule="auto"/>
              <w:rPr>
                <w:rFonts w:ascii="Times New Roman" w:hAnsi="Times New Roman" w:eastAsia="Times New Roman" w:cs="Times New Roman"/>
                <w:kern w:val="0"/>
                <w:sz w:val="24"/>
                <w:szCs w:val="24"/>
                <w:lang w:eastAsia="es-CO"/>
                <w14:ligatures w14:val="none"/>
              </w:rPr>
            </w:pPr>
            <w:r w:rsidRPr="004D06D0">
              <w:rPr>
                <w:rFonts w:ascii="Verdana" w:hAnsi="Verdana" w:eastAsia="Times New Roman" w:cs="Times New Roman"/>
                <w:color w:val="000000"/>
                <w:kern w:val="0"/>
                <w:lang w:eastAsia="es-CO"/>
                <w14:ligatures w14:val="none"/>
              </w:rPr>
              <w:t>Censo de población</w:t>
            </w:r>
            <w:r w:rsidRPr="004D06D0">
              <w:rPr>
                <w:rFonts w:ascii="Verdana" w:hAnsi="Verdana" w:eastAsia="Times New Roman" w:cs="Times New Roman"/>
                <w:color w:val="000000"/>
                <w:kern w:val="0"/>
                <w:lang w:eastAsia="es-CO"/>
                <w14:ligatures w14:val="none"/>
              </w:rPr>
              <w:br/>
            </w:r>
            <w:r w:rsidRPr="004D06D0">
              <w:rPr>
                <w:rFonts w:ascii="Verdana" w:hAnsi="Verdana" w:eastAsia="Times New Roman" w:cs="Times New Roman"/>
                <w:color w:val="000000"/>
                <w:kern w:val="0"/>
                <w:lang w:eastAsia="es-CO"/>
                <w14:ligatures w14:val="none"/>
              </w:rPr>
              <w:t>campesina</w:t>
            </w:r>
          </w:p>
        </w:tc>
        <w:tc>
          <w:tcPr>
            <w:tcW w:w="3000" w:type="dxa"/>
            <w:tcBorders>
              <w:top w:val="single" w:color="auto" w:sz="4" w:space="0"/>
              <w:left w:val="single" w:color="auto" w:sz="4" w:space="0"/>
              <w:bottom w:val="single" w:color="auto" w:sz="4" w:space="0"/>
              <w:right w:val="single" w:color="auto" w:sz="4" w:space="0"/>
            </w:tcBorders>
            <w:vAlign w:val="center"/>
            <w:hideMark/>
          </w:tcPr>
          <w:p w:rsidRPr="004D06D0" w:rsidR="00B61180" w:rsidP="00631238" w:rsidRDefault="00B61180" w14:paraId="602A4B8D" w14:textId="77777777">
            <w:pPr>
              <w:spacing w:after="0" w:line="240" w:lineRule="auto"/>
              <w:rPr>
                <w:rFonts w:ascii="Times New Roman" w:hAnsi="Times New Roman" w:eastAsia="Times New Roman" w:cs="Times New Roman"/>
                <w:kern w:val="0"/>
                <w:sz w:val="24"/>
                <w:szCs w:val="24"/>
                <w:lang w:eastAsia="es-CO"/>
                <w14:ligatures w14:val="none"/>
              </w:rPr>
            </w:pPr>
            <w:r w:rsidRPr="004D06D0">
              <w:rPr>
                <w:rFonts w:ascii="Verdana" w:hAnsi="Verdana" w:eastAsia="Times New Roman" w:cs="Times New Roman"/>
                <w:color w:val="000000"/>
                <w:kern w:val="0"/>
                <w:lang w:eastAsia="es-CO"/>
                <w14:ligatures w14:val="none"/>
              </w:rPr>
              <w:t>DANE / Ministerio de</w:t>
            </w:r>
            <w:r w:rsidRPr="004D06D0">
              <w:rPr>
                <w:rFonts w:ascii="Verdana" w:hAnsi="Verdana" w:eastAsia="Times New Roman" w:cs="Times New Roman"/>
                <w:color w:val="000000"/>
                <w:kern w:val="0"/>
                <w:lang w:eastAsia="es-CO"/>
                <w14:ligatures w14:val="none"/>
              </w:rPr>
              <w:br/>
            </w:r>
            <w:r w:rsidRPr="004D06D0">
              <w:rPr>
                <w:rFonts w:ascii="Verdana" w:hAnsi="Verdana" w:eastAsia="Times New Roman" w:cs="Times New Roman"/>
                <w:color w:val="000000"/>
                <w:kern w:val="0"/>
                <w:lang w:eastAsia="es-CO"/>
                <w14:ligatures w14:val="none"/>
              </w:rPr>
              <w:t>Agricultura</w:t>
            </w:r>
          </w:p>
        </w:tc>
        <w:tc>
          <w:tcPr>
            <w:tcW w:w="3000" w:type="dxa"/>
            <w:tcBorders>
              <w:top w:val="single" w:color="auto" w:sz="4" w:space="0"/>
              <w:left w:val="single" w:color="auto" w:sz="4" w:space="0"/>
              <w:bottom w:val="single" w:color="auto" w:sz="4" w:space="0"/>
              <w:right w:val="single" w:color="auto" w:sz="4" w:space="0"/>
            </w:tcBorders>
            <w:vAlign w:val="center"/>
            <w:hideMark/>
          </w:tcPr>
          <w:p w:rsidRPr="004D06D0" w:rsidR="00B61180" w:rsidP="00631238" w:rsidRDefault="00B61180" w14:paraId="51A15988" w14:textId="77777777">
            <w:pPr>
              <w:spacing w:after="0" w:line="240" w:lineRule="auto"/>
              <w:rPr>
                <w:rFonts w:ascii="Times New Roman" w:hAnsi="Times New Roman" w:eastAsia="Times New Roman" w:cs="Times New Roman"/>
                <w:kern w:val="0"/>
                <w:sz w:val="24"/>
                <w:szCs w:val="24"/>
                <w:lang w:eastAsia="es-CO"/>
                <w14:ligatures w14:val="none"/>
              </w:rPr>
            </w:pPr>
            <w:r w:rsidRPr="004D06D0">
              <w:rPr>
                <w:rFonts w:ascii="Verdana" w:hAnsi="Verdana" w:eastAsia="Times New Roman" w:cs="Times New Roman"/>
                <w:color w:val="000000"/>
                <w:kern w:val="0"/>
                <w:lang w:eastAsia="es-CO"/>
                <w14:ligatures w14:val="none"/>
              </w:rPr>
              <w:t>La producción de</w:t>
            </w:r>
            <w:r w:rsidRPr="004D06D0">
              <w:rPr>
                <w:rFonts w:ascii="Verdana" w:hAnsi="Verdana" w:eastAsia="Times New Roman" w:cs="Times New Roman"/>
                <w:color w:val="000000"/>
                <w:kern w:val="0"/>
                <w:lang w:eastAsia="es-CO"/>
                <w14:ligatures w14:val="none"/>
              </w:rPr>
              <w:br/>
            </w:r>
            <w:r w:rsidRPr="004D06D0">
              <w:rPr>
                <w:rFonts w:ascii="Verdana" w:hAnsi="Verdana" w:eastAsia="Times New Roman" w:cs="Times New Roman"/>
                <w:color w:val="000000"/>
                <w:kern w:val="0"/>
                <w:lang w:eastAsia="es-CO"/>
                <w14:ligatures w14:val="none"/>
              </w:rPr>
              <w:t>información censal</w:t>
            </w:r>
            <w:r w:rsidRPr="004D06D0">
              <w:rPr>
                <w:rFonts w:ascii="Verdana" w:hAnsi="Verdana" w:eastAsia="Times New Roman" w:cs="Times New Roman"/>
                <w:color w:val="000000"/>
                <w:kern w:val="0"/>
                <w:lang w:eastAsia="es-CO"/>
                <w14:ligatures w14:val="none"/>
              </w:rPr>
              <w:br/>
            </w:r>
            <w:r w:rsidRPr="004D06D0">
              <w:rPr>
                <w:rFonts w:ascii="Verdana" w:hAnsi="Verdana" w:eastAsia="Times New Roman" w:cs="Times New Roman"/>
                <w:color w:val="000000"/>
                <w:kern w:val="0"/>
                <w:lang w:eastAsia="es-CO"/>
                <w14:ligatures w14:val="none"/>
              </w:rPr>
              <w:t>excede la competencia</w:t>
            </w:r>
            <w:r w:rsidRPr="004D06D0">
              <w:rPr>
                <w:rFonts w:ascii="Verdana" w:hAnsi="Verdana" w:eastAsia="Times New Roman" w:cs="Times New Roman"/>
                <w:color w:val="000000"/>
                <w:kern w:val="0"/>
                <w:lang w:eastAsia="es-CO"/>
                <w14:ligatures w14:val="none"/>
              </w:rPr>
              <w:br/>
            </w:r>
            <w:r w:rsidRPr="004D06D0">
              <w:rPr>
                <w:rFonts w:ascii="Verdana" w:hAnsi="Verdana" w:eastAsia="Times New Roman" w:cs="Times New Roman"/>
                <w:color w:val="000000"/>
                <w:kern w:val="0"/>
                <w:lang w:eastAsia="es-CO"/>
                <w14:ligatures w14:val="none"/>
              </w:rPr>
              <w:t>del MADS.</w:t>
            </w:r>
          </w:p>
        </w:tc>
      </w:tr>
      <w:tr w:rsidRPr="004D06D0" w:rsidR="00B61180" w:rsidTr="00631238" w14:paraId="24E85187" w14:textId="77777777">
        <w:trPr>
          <w:jc w:val="center"/>
        </w:trPr>
        <w:tc>
          <w:tcPr>
            <w:tcW w:w="3000" w:type="dxa"/>
            <w:tcBorders>
              <w:top w:val="single" w:color="auto" w:sz="4" w:space="0"/>
              <w:left w:val="single" w:color="auto" w:sz="4" w:space="0"/>
              <w:bottom w:val="single" w:color="auto" w:sz="4" w:space="0"/>
              <w:right w:val="single" w:color="auto" w:sz="4" w:space="0"/>
            </w:tcBorders>
            <w:vAlign w:val="center"/>
            <w:hideMark/>
          </w:tcPr>
          <w:p w:rsidRPr="004D06D0" w:rsidR="00B61180" w:rsidP="00631238" w:rsidRDefault="00B61180" w14:paraId="02BEAD85" w14:textId="77777777">
            <w:pPr>
              <w:spacing w:after="0" w:line="240" w:lineRule="auto"/>
              <w:rPr>
                <w:rFonts w:ascii="Times New Roman" w:hAnsi="Times New Roman" w:eastAsia="Times New Roman" w:cs="Times New Roman"/>
                <w:kern w:val="0"/>
                <w:sz w:val="24"/>
                <w:szCs w:val="24"/>
                <w:lang w:eastAsia="es-CO"/>
                <w14:ligatures w14:val="none"/>
              </w:rPr>
            </w:pPr>
            <w:r w:rsidRPr="004D06D0">
              <w:rPr>
                <w:rFonts w:ascii="Verdana" w:hAnsi="Verdana" w:eastAsia="Times New Roman" w:cs="Times New Roman"/>
                <w:color w:val="000000"/>
                <w:kern w:val="0"/>
                <w:lang w:eastAsia="es-CO"/>
                <w14:ligatures w14:val="none"/>
              </w:rPr>
              <w:t>Constitución de zonas de</w:t>
            </w:r>
            <w:r w:rsidRPr="004D06D0">
              <w:rPr>
                <w:rFonts w:ascii="Verdana" w:hAnsi="Verdana" w:eastAsia="Times New Roman" w:cs="Times New Roman"/>
                <w:color w:val="000000"/>
                <w:kern w:val="0"/>
                <w:lang w:eastAsia="es-CO"/>
                <w14:ligatures w14:val="none"/>
              </w:rPr>
              <w:br/>
            </w:r>
            <w:r w:rsidRPr="004D06D0">
              <w:rPr>
                <w:rFonts w:ascii="Verdana" w:hAnsi="Verdana" w:eastAsia="Times New Roman" w:cs="Times New Roman"/>
                <w:color w:val="000000"/>
                <w:kern w:val="0"/>
                <w:lang w:eastAsia="es-CO"/>
                <w14:ligatures w14:val="none"/>
              </w:rPr>
              <w:t>reserva campesina</w:t>
            </w:r>
          </w:p>
        </w:tc>
        <w:tc>
          <w:tcPr>
            <w:tcW w:w="3000" w:type="dxa"/>
            <w:tcBorders>
              <w:top w:val="single" w:color="auto" w:sz="4" w:space="0"/>
              <w:left w:val="single" w:color="auto" w:sz="4" w:space="0"/>
              <w:bottom w:val="single" w:color="auto" w:sz="4" w:space="0"/>
              <w:right w:val="single" w:color="auto" w:sz="4" w:space="0"/>
            </w:tcBorders>
            <w:vAlign w:val="center"/>
            <w:hideMark/>
          </w:tcPr>
          <w:p w:rsidRPr="004D06D0" w:rsidR="00B61180" w:rsidP="00631238" w:rsidRDefault="00B61180" w14:paraId="68137313" w14:textId="77777777">
            <w:pPr>
              <w:spacing w:after="0" w:line="240" w:lineRule="auto"/>
              <w:rPr>
                <w:rFonts w:ascii="Times New Roman" w:hAnsi="Times New Roman" w:eastAsia="Times New Roman" w:cs="Times New Roman"/>
                <w:kern w:val="0"/>
                <w:sz w:val="24"/>
                <w:szCs w:val="24"/>
                <w:lang w:eastAsia="es-CO"/>
                <w14:ligatures w14:val="none"/>
              </w:rPr>
            </w:pPr>
            <w:r w:rsidRPr="004D06D0">
              <w:rPr>
                <w:rFonts w:ascii="Verdana" w:hAnsi="Verdana" w:eastAsia="Times New Roman" w:cs="Times New Roman"/>
                <w:color w:val="000000"/>
                <w:kern w:val="0"/>
                <w:lang w:eastAsia="es-CO"/>
                <w14:ligatures w14:val="none"/>
              </w:rPr>
              <w:t>Ministerio de Agricultura</w:t>
            </w:r>
            <w:r w:rsidRPr="004D06D0">
              <w:rPr>
                <w:rFonts w:ascii="Verdana" w:hAnsi="Verdana" w:eastAsia="Times New Roman" w:cs="Times New Roman"/>
                <w:color w:val="000000"/>
                <w:kern w:val="0"/>
                <w:lang w:eastAsia="es-CO"/>
                <w14:ligatures w14:val="none"/>
              </w:rPr>
              <w:br/>
            </w:r>
            <w:r w:rsidRPr="004D06D0">
              <w:rPr>
                <w:rFonts w:ascii="Verdana" w:hAnsi="Verdana" w:eastAsia="Times New Roman" w:cs="Times New Roman"/>
                <w:color w:val="000000"/>
                <w:kern w:val="0"/>
                <w:lang w:eastAsia="es-CO"/>
                <w14:ligatures w14:val="none"/>
              </w:rPr>
              <w:t>y Desarrollo Rural /</w:t>
            </w:r>
            <w:r w:rsidRPr="004D06D0">
              <w:rPr>
                <w:rFonts w:ascii="Verdana" w:hAnsi="Verdana" w:eastAsia="Times New Roman" w:cs="Times New Roman"/>
                <w:color w:val="000000"/>
                <w:kern w:val="0"/>
                <w:lang w:eastAsia="es-CO"/>
                <w14:ligatures w14:val="none"/>
              </w:rPr>
              <w:br/>
            </w:r>
            <w:r w:rsidRPr="004D06D0">
              <w:rPr>
                <w:rFonts w:ascii="Verdana" w:hAnsi="Verdana" w:eastAsia="Times New Roman" w:cs="Times New Roman"/>
                <w:color w:val="000000"/>
                <w:kern w:val="0"/>
                <w:lang w:eastAsia="es-CO"/>
                <w14:ligatures w14:val="none"/>
              </w:rPr>
              <w:t>Agencia Nacional de</w:t>
            </w:r>
            <w:r w:rsidRPr="004D06D0">
              <w:rPr>
                <w:rFonts w:ascii="Verdana" w:hAnsi="Verdana" w:eastAsia="Times New Roman" w:cs="Times New Roman"/>
                <w:color w:val="000000"/>
                <w:kern w:val="0"/>
                <w:lang w:eastAsia="es-CO"/>
                <w14:ligatures w14:val="none"/>
              </w:rPr>
              <w:br/>
            </w:r>
            <w:r w:rsidRPr="004D06D0">
              <w:rPr>
                <w:rFonts w:ascii="Verdana" w:hAnsi="Verdana" w:eastAsia="Times New Roman" w:cs="Times New Roman"/>
                <w:color w:val="000000"/>
                <w:kern w:val="0"/>
                <w:lang w:eastAsia="es-CO"/>
                <w14:ligatures w14:val="none"/>
              </w:rPr>
              <w:t>Tierras (ANT)</w:t>
            </w:r>
          </w:p>
        </w:tc>
        <w:tc>
          <w:tcPr>
            <w:tcW w:w="3000" w:type="dxa"/>
            <w:tcBorders>
              <w:top w:val="single" w:color="auto" w:sz="4" w:space="0"/>
              <w:left w:val="single" w:color="auto" w:sz="4" w:space="0"/>
              <w:bottom w:val="single" w:color="auto" w:sz="4" w:space="0"/>
              <w:right w:val="single" w:color="auto" w:sz="4" w:space="0"/>
            </w:tcBorders>
            <w:vAlign w:val="center"/>
            <w:hideMark/>
          </w:tcPr>
          <w:p w:rsidRPr="004D06D0" w:rsidR="00B61180" w:rsidP="00631238" w:rsidRDefault="00B61180" w14:paraId="4D327CBE" w14:textId="77777777">
            <w:pPr>
              <w:spacing w:after="0" w:line="240" w:lineRule="auto"/>
              <w:rPr>
                <w:rFonts w:ascii="Times New Roman" w:hAnsi="Times New Roman" w:eastAsia="Times New Roman" w:cs="Times New Roman"/>
                <w:kern w:val="0"/>
                <w:sz w:val="24"/>
                <w:szCs w:val="24"/>
                <w:lang w:eastAsia="es-CO"/>
                <w14:ligatures w14:val="none"/>
              </w:rPr>
            </w:pPr>
            <w:r w:rsidRPr="004D06D0">
              <w:rPr>
                <w:rFonts w:ascii="Verdana" w:hAnsi="Verdana" w:eastAsia="Times New Roman" w:cs="Times New Roman"/>
                <w:color w:val="000000"/>
                <w:kern w:val="0"/>
                <w:lang w:eastAsia="es-CO"/>
                <w14:ligatures w14:val="none"/>
              </w:rPr>
              <w:t>Materia regulada por la</w:t>
            </w:r>
            <w:r w:rsidRPr="004D06D0">
              <w:rPr>
                <w:rFonts w:ascii="Verdana" w:hAnsi="Verdana" w:eastAsia="Times New Roman" w:cs="Times New Roman"/>
                <w:color w:val="000000"/>
                <w:kern w:val="0"/>
                <w:lang w:eastAsia="es-CO"/>
                <w14:ligatures w14:val="none"/>
              </w:rPr>
              <w:br/>
            </w:r>
            <w:r w:rsidRPr="004D06D0">
              <w:rPr>
                <w:rFonts w:ascii="Verdana" w:hAnsi="Verdana" w:eastAsia="Times New Roman" w:cs="Times New Roman"/>
                <w:color w:val="000000"/>
                <w:kern w:val="0"/>
                <w:lang w:eastAsia="es-CO"/>
                <w14:ligatures w14:val="none"/>
              </w:rPr>
              <w:t>Ley 160 de 1994 y sus</w:t>
            </w:r>
            <w:r w:rsidRPr="004D06D0">
              <w:rPr>
                <w:rFonts w:ascii="Verdana" w:hAnsi="Verdana" w:eastAsia="Times New Roman" w:cs="Times New Roman"/>
                <w:color w:val="000000"/>
                <w:kern w:val="0"/>
                <w:lang w:eastAsia="es-CO"/>
                <w14:ligatures w14:val="none"/>
              </w:rPr>
              <w:br/>
            </w:r>
            <w:r w:rsidRPr="004D06D0">
              <w:rPr>
                <w:rFonts w:ascii="Verdana" w:hAnsi="Verdana" w:eastAsia="Times New Roman" w:cs="Times New Roman"/>
                <w:color w:val="000000"/>
                <w:kern w:val="0"/>
                <w:lang w:eastAsia="es-CO"/>
                <w14:ligatures w14:val="none"/>
              </w:rPr>
              <w:t>normas modificatorias y</w:t>
            </w:r>
            <w:r w:rsidRPr="004D06D0">
              <w:rPr>
                <w:rFonts w:ascii="Verdana" w:hAnsi="Verdana" w:eastAsia="Times New Roman" w:cs="Times New Roman"/>
                <w:color w:val="000000"/>
                <w:kern w:val="0"/>
                <w:lang w:eastAsia="es-CO"/>
                <w14:ligatures w14:val="none"/>
              </w:rPr>
              <w:br/>
            </w:r>
            <w:r w:rsidRPr="004D06D0">
              <w:rPr>
                <w:rFonts w:ascii="Verdana" w:hAnsi="Verdana" w:eastAsia="Times New Roman" w:cs="Times New Roman"/>
                <w:color w:val="000000"/>
                <w:kern w:val="0"/>
                <w:lang w:eastAsia="es-CO"/>
                <w14:ligatures w14:val="none"/>
              </w:rPr>
              <w:t>reglamentarias, en la</w:t>
            </w:r>
            <w:r w:rsidRPr="004D06D0">
              <w:rPr>
                <w:rFonts w:ascii="Verdana" w:hAnsi="Verdana" w:eastAsia="Times New Roman" w:cs="Times New Roman"/>
                <w:color w:val="000000"/>
                <w:kern w:val="0"/>
                <w:lang w:eastAsia="es-CO"/>
                <w14:ligatures w14:val="none"/>
              </w:rPr>
              <w:br/>
            </w:r>
            <w:r w:rsidRPr="004D06D0">
              <w:rPr>
                <w:rFonts w:ascii="Verdana" w:hAnsi="Verdana" w:eastAsia="Times New Roman" w:cs="Times New Roman"/>
                <w:color w:val="000000"/>
                <w:kern w:val="0"/>
                <w:lang w:eastAsia="es-CO"/>
                <w14:ligatures w14:val="none"/>
              </w:rPr>
              <w:t>que concurren ambas</w:t>
            </w:r>
            <w:r w:rsidRPr="004D06D0">
              <w:rPr>
                <w:rFonts w:ascii="Verdana" w:hAnsi="Verdana" w:eastAsia="Times New Roman" w:cs="Times New Roman"/>
                <w:color w:val="000000"/>
                <w:kern w:val="0"/>
                <w:lang w:eastAsia="es-CO"/>
                <w14:ligatures w14:val="none"/>
              </w:rPr>
              <w:br/>
            </w:r>
            <w:r w:rsidRPr="004D06D0">
              <w:rPr>
                <w:rFonts w:ascii="Verdana" w:hAnsi="Verdana" w:eastAsia="Times New Roman" w:cs="Times New Roman"/>
                <w:color w:val="000000"/>
                <w:kern w:val="0"/>
                <w:lang w:eastAsia="es-CO"/>
                <w14:ligatures w14:val="none"/>
              </w:rPr>
              <w:t>entidades según el</w:t>
            </w:r>
            <w:r w:rsidRPr="004D06D0">
              <w:rPr>
                <w:rFonts w:ascii="Verdana" w:hAnsi="Verdana" w:eastAsia="Times New Roman" w:cs="Times New Roman"/>
                <w:color w:val="000000"/>
                <w:kern w:val="0"/>
                <w:lang w:eastAsia="es-CO"/>
                <w14:ligatures w14:val="none"/>
              </w:rPr>
              <w:br/>
            </w:r>
            <w:r w:rsidRPr="004D06D0">
              <w:rPr>
                <w:rFonts w:ascii="Verdana" w:hAnsi="Verdana" w:eastAsia="Times New Roman" w:cs="Times New Roman"/>
                <w:color w:val="000000"/>
                <w:kern w:val="0"/>
                <w:lang w:eastAsia="es-CO"/>
                <w14:ligatures w14:val="none"/>
              </w:rPr>
              <w:t>componente del trámite.</w:t>
            </w:r>
          </w:p>
        </w:tc>
      </w:tr>
      <w:tr w:rsidRPr="004D06D0" w:rsidR="00B61180" w:rsidTr="00631238" w14:paraId="2681CC51" w14:textId="77777777">
        <w:trPr>
          <w:jc w:val="center"/>
        </w:trPr>
        <w:tc>
          <w:tcPr>
            <w:tcW w:w="3000" w:type="dxa"/>
            <w:tcBorders>
              <w:top w:val="single" w:color="auto" w:sz="4" w:space="0"/>
              <w:left w:val="single" w:color="auto" w:sz="4" w:space="0"/>
              <w:bottom w:val="single" w:color="auto" w:sz="4" w:space="0"/>
              <w:right w:val="single" w:color="auto" w:sz="4" w:space="0"/>
            </w:tcBorders>
            <w:vAlign w:val="center"/>
            <w:hideMark/>
          </w:tcPr>
          <w:p w:rsidRPr="004D06D0" w:rsidR="00B61180" w:rsidP="00631238" w:rsidRDefault="00B61180" w14:paraId="7F8C6CF9" w14:textId="77777777">
            <w:pPr>
              <w:spacing w:after="0" w:line="240" w:lineRule="auto"/>
              <w:rPr>
                <w:rFonts w:ascii="Times New Roman" w:hAnsi="Times New Roman" w:eastAsia="Times New Roman" w:cs="Times New Roman"/>
                <w:kern w:val="0"/>
                <w:sz w:val="24"/>
                <w:szCs w:val="24"/>
                <w:lang w:eastAsia="es-CO"/>
                <w14:ligatures w14:val="none"/>
              </w:rPr>
            </w:pPr>
            <w:r w:rsidRPr="004D06D0">
              <w:rPr>
                <w:rFonts w:ascii="Verdana" w:hAnsi="Verdana" w:eastAsia="Times New Roman" w:cs="Times New Roman"/>
                <w:color w:val="000000"/>
                <w:kern w:val="0"/>
                <w:lang w:eastAsia="es-CO"/>
                <w14:ligatures w14:val="none"/>
              </w:rPr>
              <w:t>Empoderamiento</w:t>
            </w:r>
            <w:r w:rsidRPr="004D06D0">
              <w:rPr>
                <w:rFonts w:ascii="Verdana" w:hAnsi="Verdana" w:eastAsia="Times New Roman" w:cs="Times New Roman"/>
                <w:color w:val="000000"/>
                <w:kern w:val="0"/>
                <w:lang w:eastAsia="es-CO"/>
                <w14:ligatures w14:val="none"/>
              </w:rPr>
              <w:br/>
            </w:r>
            <w:r w:rsidRPr="004D06D0">
              <w:rPr>
                <w:rFonts w:ascii="Verdana" w:hAnsi="Verdana" w:eastAsia="Times New Roman" w:cs="Times New Roman"/>
                <w:color w:val="000000"/>
                <w:kern w:val="0"/>
                <w:lang w:eastAsia="es-CO"/>
                <w14:ligatures w14:val="none"/>
              </w:rPr>
              <w:t>comunitario en mecanismos</w:t>
            </w:r>
            <w:r w:rsidRPr="004D06D0">
              <w:rPr>
                <w:rFonts w:ascii="Verdana" w:hAnsi="Verdana" w:eastAsia="Times New Roman" w:cs="Times New Roman"/>
                <w:color w:val="000000"/>
                <w:kern w:val="0"/>
                <w:lang w:eastAsia="es-CO"/>
                <w14:ligatures w14:val="none"/>
              </w:rPr>
              <w:br/>
            </w:r>
            <w:r w:rsidRPr="004D06D0">
              <w:rPr>
                <w:rFonts w:ascii="Verdana" w:hAnsi="Verdana" w:eastAsia="Times New Roman" w:cs="Times New Roman"/>
                <w:color w:val="000000"/>
                <w:kern w:val="0"/>
                <w:lang w:eastAsia="es-CO"/>
                <w14:ligatures w14:val="none"/>
              </w:rPr>
              <w:t>de participación</w:t>
            </w:r>
          </w:p>
        </w:tc>
        <w:tc>
          <w:tcPr>
            <w:tcW w:w="3000" w:type="dxa"/>
            <w:tcBorders>
              <w:top w:val="single" w:color="auto" w:sz="4" w:space="0"/>
              <w:left w:val="single" w:color="auto" w:sz="4" w:space="0"/>
              <w:bottom w:val="single" w:color="auto" w:sz="4" w:space="0"/>
              <w:right w:val="single" w:color="auto" w:sz="4" w:space="0"/>
            </w:tcBorders>
            <w:vAlign w:val="center"/>
            <w:hideMark/>
          </w:tcPr>
          <w:p w:rsidRPr="004D06D0" w:rsidR="00B61180" w:rsidP="00631238" w:rsidRDefault="00B61180" w14:paraId="493D90DB" w14:textId="77777777">
            <w:pPr>
              <w:spacing w:after="0" w:line="240" w:lineRule="auto"/>
              <w:rPr>
                <w:rFonts w:ascii="Times New Roman" w:hAnsi="Times New Roman" w:eastAsia="Times New Roman" w:cs="Times New Roman"/>
                <w:kern w:val="0"/>
                <w:sz w:val="24"/>
                <w:szCs w:val="24"/>
                <w:lang w:eastAsia="es-CO"/>
                <w14:ligatures w14:val="none"/>
              </w:rPr>
            </w:pPr>
            <w:r w:rsidRPr="004D06D0">
              <w:rPr>
                <w:rFonts w:ascii="Verdana" w:hAnsi="Verdana" w:eastAsia="Times New Roman" w:cs="Times New Roman"/>
                <w:color w:val="000000"/>
                <w:kern w:val="0"/>
                <w:lang w:eastAsia="es-CO"/>
                <w14:ligatures w14:val="none"/>
              </w:rPr>
              <w:t>Defensoría del Pueblo /</w:t>
            </w:r>
            <w:r w:rsidRPr="004D06D0">
              <w:rPr>
                <w:rFonts w:ascii="Verdana" w:hAnsi="Verdana" w:eastAsia="Times New Roman" w:cs="Times New Roman"/>
                <w:color w:val="000000"/>
                <w:kern w:val="0"/>
                <w:lang w:eastAsia="es-CO"/>
                <w14:ligatures w14:val="none"/>
              </w:rPr>
              <w:br/>
            </w:r>
            <w:r w:rsidRPr="004D06D0">
              <w:rPr>
                <w:rFonts w:ascii="Verdana" w:hAnsi="Verdana" w:eastAsia="Times New Roman" w:cs="Times New Roman"/>
                <w:color w:val="000000"/>
                <w:kern w:val="0"/>
                <w:lang w:eastAsia="es-CO"/>
                <w14:ligatures w14:val="none"/>
              </w:rPr>
              <w:t>Personerías municipales</w:t>
            </w:r>
          </w:p>
        </w:tc>
        <w:tc>
          <w:tcPr>
            <w:tcW w:w="3000" w:type="dxa"/>
            <w:tcBorders>
              <w:top w:val="single" w:color="auto" w:sz="4" w:space="0"/>
              <w:left w:val="single" w:color="auto" w:sz="4" w:space="0"/>
              <w:bottom w:val="single" w:color="auto" w:sz="4" w:space="0"/>
              <w:right w:val="single" w:color="auto" w:sz="4" w:space="0"/>
            </w:tcBorders>
            <w:vAlign w:val="center"/>
            <w:hideMark/>
          </w:tcPr>
          <w:p w:rsidRPr="004D06D0" w:rsidR="00B61180" w:rsidP="00631238" w:rsidRDefault="00B61180" w14:paraId="59EAF9E6" w14:textId="77777777">
            <w:pPr>
              <w:spacing w:after="0" w:line="240" w:lineRule="auto"/>
              <w:rPr>
                <w:rFonts w:ascii="Times New Roman" w:hAnsi="Times New Roman" w:eastAsia="Times New Roman" w:cs="Times New Roman"/>
                <w:kern w:val="0"/>
                <w:sz w:val="24"/>
                <w:szCs w:val="24"/>
                <w:lang w:eastAsia="es-CO"/>
                <w14:ligatures w14:val="none"/>
              </w:rPr>
            </w:pPr>
            <w:r w:rsidRPr="004D06D0">
              <w:rPr>
                <w:rFonts w:ascii="Verdana" w:hAnsi="Verdana" w:eastAsia="Times New Roman" w:cs="Times New Roman"/>
                <w:color w:val="000000"/>
                <w:kern w:val="0"/>
                <w:lang w:eastAsia="es-CO"/>
                <w14:ligatures w14:val="none"/>
              </w:rPr>
              <w:t>Competencia conforme a</w:t>
            </w:r>
            <w:r w:rsidRPr="004D06D0">
              <w:rPr>
                <w:rFonts w:ascii="Verdana" w:hAnsi="Verdana" w:eastAsia="Times New Roman" w:cs="Times New Roman"/>
                <w:color w:val="000000"/>
                <w:kern w:val="0"/>
                <w:lang w:eastAsia="es-CO"/>
                <w14:ligatures w14:val="none"/>
              </w:rPr>
              <w:br/>
            </w:r>
            <w:r w:rsidRPr="004D06D0">
              <w:rPr>
                <w:rFonts w:ascii="Verdana" w:hAnsi="Verdana" w:eastAsia="Times New Roman" w:cs="Times New Roman"/>
                <w:color w:val="000000"/>
                <w:kern w:val="0"/>
                <w:lang w:eastAsia="es-CO"/>
                <w14:ligatures w14:val="none"/>
              </w:rPr>
              <w:t>la Ley 24 de 1992.</w:t>
            </w:r>
          </w:p>
        </w:tc>
      </w:tr>
      <w:tr w:rsidRPr="004D06D0" w:rsidR="00B61180" w:rsidTr="00631238" w14:paraId="49DC604E" w14:textId="77777777">
        <w:trPr>
          <w:jc w:val="center"/>
        </w:trPr>
        <w:tc>
          <w:tcPr>
            <w:tcW w:w="3000" w:type="dxa"/>
            <w:tcBorders>
              <w:top w:val="single" w:color="auto" w:sz="4" w:space="0"/>
              <w:left w:val="single" w:color="auto" w:sz="4" w:space="0"/>
              <w:bottom w:val="single" w:color="auto" w:sz="4" w:space="0"/>
              <w:right w:val="single" w:color="auto" w:sz="4" w:space="0"/>
            </w:tcBorders>
            <w:vAlign w:val="center"/>
            <w:hideMark/>
          </w:tcPr>
          <w:p w:rsidRPr="004D06D0" w:rsidR="00B61180" w:rsidP="00631238" w:rsidRDefault="00B61180" w14:paraId="5C87F825" w14:textId="77777777">
            <w:pPr>
              <w:spacing w:after="0" w:line="240" w:lineRule="auto"/>
              <w:rPr>
                <w:rFonts w:ascii="Times New Roman" w:hAnsi="Times New Roman" w:eastAsia="Times New Roman" w:cs="Times New Roman"/>
                <w:kern w:val="0"/>
                <w:sz w:val="24"/>
                <w:szCs w:val="24"/>
                <w:lang w:eastAsia="es-CO"/>
                <w14:ligatures w14:val="none"/>
              </w:rPr>
            </w:pPr>
            <w:r w:rsidRPr="004D06D0">
              <w:rPr>
                <w:rFonts w:ascii="Verdana" w:hAnsi="Verdana" w:eastAsia="Times New Roman" w:cs="Times New Roman"/>
                <w:color w:val="000000"/>
                <w:kern w:val="0"/>
                <w:lang w:eastAsia="es-CO"/>
                <w14:ligatures w14:val="none"/>
              </w:rPr>
              <w:t>Control fiscal de recursos</w:t>
            </w:r>
            <w:r w:rsidRPr="004D06D0">
              <w:rPr>
                <w:rFonts w:ascii="Verdana" w:hAnsi="Verdana" w:eastAsia="Times New Roman" w:cs="Times New Roman"/>
                <w:color w:val="000000"/>
                <w:kern w:val="0"/>
                <w:lang w:eastAsia="es-CO"/>
                <w14:ligatures w14:val="none"/>
              </w:rPr>
              <w:br/>
            </w:r>
            <w:r w:rsidRPr="004D06D0">
              <w:rPr>
                <w:rFonts w:ascii="Verdana" w:hAnsi="Verdana" w:eastAsia="Times New Roman" w:cs="Times New Roman"/>
                <w:color w:val="000000"/>
                <w:kern w:val="0"/>
                <w:lang w:eastAsia="es-CO"/>
                <w14:ligatures w14:val="none"/>
              </w:rPr>
              <w:t>destinados al páramo</w:t>
            </w:r>
          </w:p>
        </w:tc>
        <w:tc>
          <w:tcPr>
            <w:tcW w:w="3000" w:type="dxa"/>
            <w:tcBorders>
              <w:top w:val="single" w:color="auto" w:sz="4" w:space="0"/>
              <w:left w:val="single" w:color="auto" w:sz="4" w:space="0"/>
              <w:bottom w:val="single" w:color="auto" w:sz="4" w:space="0"/>
              <w:right w:val="single" w:color="auto" w:sz="4" w:space="0"/>
            </w:tcBorders>
            <w:vAlign w:val="center"/>
            <w:hideMark/>
          </w:tcPr>
          <w:p w:rsidRPr="004D06D0" w:rsidR="00B61180" w:rsidP="00631238" w:rsidRDefault="00B61180" w14:paraId="67479089" w14:textId="77777777">
            <w:pPr>
              <w:spacing w:after="0" w:line="240" w:lineRule="auto"/>
              <w:rPr>
                <w:rFonts w:ascii="Times New Roman" w:hAnsi="Times New Roman" w:eastAsia="Times New Roman" w:cs="Times New Roman"/>
                <w:kern w:val="0"/>
                <w:sz w:val="24"/>
                <w:szCs w:val="24"/>
                <w:lang w:eastAsia="es-CO"/>
                <w14:ligatures w14:val="none"/>
              </w:rPr>
            </w:pPr>
            <w:r w:rsidRPr="004D06D0">
              <w:rPr>
                <w:rFonts w:ascii="Verdana" w:hAnsi="Verdana" w:eastAsia="Times New Roman" w:cs="Times New Roman"/>
                <w:color w:val="000000"/>
                <w:kern w:val="0"/>
                <w:lang w:eastAsia="es-CO"/>
                <w14:ligatures w14:val="none"/>
              </w:rPr>
              <w:t>Contraloría General de la</w:t>
            </w:r>
            <w:r w:rsidRPr="004D06D0">
              <w:rPr>
                <w:rFonts w:ascii="Verdana" w:hAnsi="Verdana" w:eastAsia="Times New Roman" w:cs="Times New Roman"/>
                <w:color w:val="000000"/>
                <w:kern w:val="0"/>
                <w:lang w:eastAsia="es-CO"/>
                <w14:ligatures w14:val="none"/>
              </w:rPr>
              <w:br/>
            </w:r>
            <w:r w:rsidRPr="004D06D0">
              <w:rPr>
                <w:rFonts w:ascii="Verdana" w:hAnsi="Verdana" w:eastAsia="Times New Roman" w:cs="Times New Roman"/>
                <w:color w:val="000000"/>
                <w:kern w:val="0"/>
                <w:lang w:eastAsia="es-CO"/>
                <w14:ligatures w14:val="none"/>
              </w:rPr>
              <w:t>República / Contralorías</w:t>
            </w:r>
            <w:r w:rsidRPr="004D06D0">
              <w:rPr>
                <w:rFonts w:ascii="Verdana" w:hAnsi="Verdana" w:eastAsia="Times New Roman" w:cs="Times New Roman"/>
                <w:color w:val="000000"/>
                <w:kern w:val="0"/>
                <w:lang w:eastAsia="es-CO"/>
                <w14:ligatures w14:val="none"/>
              </w:rPr>
              <w:br/>
            </w:r>
            <w:r w:rsidRPr="004D06D0">
              <w:rPr>
                <w:rFonts w:ascii="Verdana" w:hAnsi="Verdana" w:eastAsia="Times New Roman" w:cs="Times New Roman"/>
                <w:color w:val="000000"/>
                <w:kern w:val="0"/>
                <w:lang w:eastAsia="es-CO"/>
                <w14:ligatures w14:val="none"/>
              </w:rPr>
              <w:t>territoriales</w:t>
            </w:r>
          </w:p>
        </w:tc>
        <w:tc>
          <w:tcPr>
            <w:tcW w:w="3000" w:type="dxa"/>
            <w:tcBorders>
              <w:top w:val="single" w:color="auto" w:sz="4" w:space="0"/>
              <w:left w:val="single" w:color="auto" w:sz="4" w:space="0"/>
              <w:bottom w:val="single" w:color="auto" w:sz="4" w:space="0"/>
              <w:right w:val="single" w:color="auto" w:sz="4" w:space="0"/>
            </w:tcBorders>
            <w:vAlign w:val="center"/>
            <w:hideMark/>
          </w:tcPr>
          <w:p w:rsidRPr="004D06D0" w:rsidR="00B61180" w:rsidP="00631238" w:rsidRDefault="00B61180" w14:paraId="3F80C397" w14:textId="77777777">
            <w:pPr>
              <w:spacing w:after="0" w:line="240" w:lineRule="auto"/>
              <w:rPr>
                <w:rFonts w:ascii="Times New Roman" w:hAnsi="Times New Roman" w:eastAsia="Times New Roman" w:cs="Times New Roman"/>
                <w:kern w:val="0"/>
                <w:sz w:val="24"/>
                <w:szCs w:val="24"/>
                <w:lang w:eastAsia="es-CO"/>
                <w14:ligatures w14:val="none"/>
              </w:rPr>
            </w:pPr>
            <w:r w:rsidRPr="004D06D0">
              <w:rPr>
                <w:rFonts w:ascii="Verdana" w:hAnsi="Verdana" w:eastAsia="Times New Roman" w:cs="Times New Roman"/>
                <w:color w:val="000000"/>
                <w:kern w:val="0"/>
                <w:lang w:eastAsia="es-CO"/>
                <w14:ligatures w14:val="none"/>
              </w:rPr>
              <w:t>Competencia exclusiva</w:t>
            </w:r>
            <w:r w:rsidRPr="004D06D0">
              <w:rPr>
                <w:rFonts w:ascii="Verdana" w:hAnsi="Verdana" w:eastAsia="Times New Roman" w:cs="Times New Roman"/>
                <w:color w:val="000000"/>
                <w:kern w:val="0"/>
                <w:lang w:eastAsia="es-CO"/>
                <w14:ligatures w14:val="none"/>
              </w:rPr>
              <w:br/>
            </w:r>
            <w:r w:rsidRPr="004D06D0">
              <w:rPr>
                <w:rFonts w:ascii="Verdana" w:hAnsi="Verdana" w:eastAsia="Times New Roman" w:cs="Times New Roman"/>
                <w:color w:val="000000"/>
                <w:kern w:val="0"/>
                <w:lang w:eastAsia="es-CO"/>
                <w14:ligatures w14:val="none"/>
              </w:rPr>
              <w:t>conforme a la</w:t>
            </w:r>
            <w:r w:rsidRPr="004D06D0">
              <w:rPr>
                <w:rFonts w:ascii="Verdana" w:hAnsi="Verdana" w:eastAsia="Times New Roman" w:cs="Times New Roman"/>
                <w:color w:val="000000"/>
                <w:kern w:val="0"/>
                <w:lang w:eastAsia="es-CO"/>
                <w14:ligatures w14:val="none"/>
              </w:rPr>
              <w:br/>
            </w:r>
            <w:r w:rsidRPr="004D06D0">
              <w:rPr>
                <w:rFonts w:ascii="Verdana" w:hAnsi="Verdana" w:eastAsia="Times New Roman" w:cs="Times New Roman"/>
                <w:color w:val="000000"/>
                <w:kern w:val="0"/>
                <w:lang w:eastAsia="es-CO"/>
                <w14:ligatures w14:val="none"/>
              </w:rPr>
              <w:t>Constitución Política y la</w:t>
            </w:r>
            <w:r w:rsidRPr="004D06D0">
              <w:rPr>
                <w:rFonts w:ascii="Verdana" w:hAnsi="Verdana" w:eastAsia="Times New Roman" w:cs="Times New Roman"/>
                <w:color w:val="000000"/>
                <w:kern w:val="0"/>
                <w:lang w:eastAsia="es-CO"/>
                <w14:ligatures w14:val="none"/>
              </w:rPr>
              <w:br/>
            </w:r>
            <w:r w:rsidRPr="004D06D0">
              <w:rPr>
                <w:rFonts w:ascii="Verdana" w:hAnsi="Verdana" w:eastAsia="Times New Roman" w:cs="Times New Roman"/>
                <w:color w:val="000000"/>
                <w:kern w:val="0"/>
                <w:lang w:eastAsia="es-CO"/>
                <w14:ligatures w14:val="none"/>
              </w:rPr>
              <w:t>Ley 42 de 1993.</w:t>
            </w:r>
          </w:p>
        </w:tc>
      </w:tr>
      <w:tr w:rsidRPr="004D06D0" w:rsidR="00B61180" w:rsidTr="00631238" w14:paraId="5DD5ABF9" w14:textId="77777777">
        <w:trPr>
          <w:jc w:val="center"/>
        </w:trPr>
        <w:tc>
          <w:tcPr>
            <w:tcW w:w="3000" w:type="dxa"/>
            <w:tcBorders>
              <w:top w:val="single" w:color="auto" w:sz="4" w:space="0"/>
              <w:left w:val="single" w:color="auto" w:sz="4" w:space="0"/>
              <w:bottom w:val="single" w:color="auto" w:sz="4" w:space="0"/>
              <w:right w:val="single" w:color="auto" w:sz="4" w:space="0"/>
            </w:tcBorders>
            <w:vAlign w:val="center"/>
            <w:hideMark/>
          </w:tcPr>
          <w:p w:rsidRPr="004D06D0" w:rsidR="00B61180" w:rsidP="00631238" w:rsidRDefault="00B61180" w14:paraId="2667721F" w14:textId="77777777">
            <w:pPr>
              <w:spacing w:after="0" w:line="240" w:lineRule="auto"/>
              <w:rPr>
                <w:rFonts w:ascii="Times New Roman" w:hAnsi="Times New Roman" w:eastAsia="Times New Roman" w:cs="Times New Roman"/>
                <w:kern w:val="0"/>
                <w:sz w:val="24"/>
                <w:szCs w:val="24"/>
                <w:lang w:eastAsia="es-CO"/>
                <w14:ligatures w14:val="none"/>
              </w:rPr>
            </w:pPr>
            <w:r w:rsidRPr="004D06D0">
              <w:rPr>
                <w:rFonts w:ascii="Verdana" w:hAnsi="Verdana" w:eastAsia="Times New Roman" w:cs="Times New Roman"/>
                <w:color w:val="000000"/>
                <w:kern w:val="0"/>
                <w:lang w:eastAsia="es-CO"/>
                <w14:ligatures w14:val="none"/>
              </w:rPr>
              <w:t>Revisión de avalúos</w:t>
            </w:r>
            <w:r w:rsidRPr="004D06D0">
              <w:rPr>
                <w:rFonts w:ascii="Verdana" w:hAnsi="Verdana" w:eastAsia="Times New Roman" w:cs="Times New Roman"/>
                <w:color w:val="000000"/>
                <w:kern w:val="0"/>
                <w:lang w:eastAsia="es-CO"/>
                <w14:ligatures w14:val="none"/>
              </w:rPr>
              <w:br/>
            </w:r>
            <w:r w:rsidRPr="004D06D0">
              <w:rPr>
                <w:rFonts w:ascii="Verdana" w:hAnsi="Verdana" w:eastAsia="Times New Roman" w:cs="Times New Roman"/>
                <w:color w:val="000000"/>
                <w:kern w:val="0"/>
                <w:lang w:eastAsia="es-CO"/>
                <w14:ligatures w14:val="none"/>
              </w:rPr>
              <w:t>catastrales</w:t>
            </w:r>
          </w:p>
        </w:tc>
        <w:tc>
          <w:tcPr>
            <w:tcW w:w="3000" w:type="dxa"/>
            <w:tcBorders>
              <w:top w:val="single" w:color="auto" w:sz="4" w:space="0"/>
              <w:left w:val="single" w:color="auto" w:sz="4" w:space="0"/>
              <w:bottom w:val="single" w:color="auto" w:sz="4" w:space="0"/>
              <w:right w:val="single" w:color="auto" w:sz="4" w:space="0"/>
            </w:tcBorders>
            <w:vAlign w:val="center"/>
            <w:hideMark/>
          </w:tcPr>
          <w:p w:rsidRPr="004D06D0" w:rsidR="00B61180" w:rsidP="00631238" w:rsidRDefault="00B61180" w14:paraId="6991C44F" w14:textId="77777777">
            <w:pPr>
              <w:spacing w:after="0" w:line="240" w:lineRule="auto"/>
              <w:rPr>
                <w:rFonts w:ascii="Times New Roman" w:hAnsi="Times New Roman" w:eastAsia="Times New Roman" w:cs="Times New Roman"/>
                <w:kern w:val="0"/>
                <w:sz w:val="24"/>
                <w:szCs w:val="24"/>
                <w:lang w:eastAsia="es-CO"/>
                <w14:ligatures w14:val="none"/>
              </w:rPr>
            </w:pPr>
            <w:r w:rsidRPr="004D06D0">
              <w:rPr>
                <w:rFonts w:ascii="Verdana" w:hAnsi="Verdana" w:eastAsia="Times New Roman" w:cs="Times New Roman"/>
                <w:color w:val="000000"/>
                <w:kern w:val="0"/>
                <w:lang w:eastAsia="es-CO"/>
                <w14:ligatures w14:val="none"/>
              </w:rPr>
              <w:t>Instituto Geográfico</w:t>
            </w:r>
            <w:r w:rsidRPr="004D06D0">
              <w:rPr>
                <w:rFonts w:ascii="Verdana" w:hAnsi="Verdana" w:eastAsia="Times New Roman" w:cs="Times New Roman"/>
                <w:color w:val="000000"/>
                <w:kern w:val="0"/>
                <w:lang w:eastAsia="es-CO"/>
                <w14:ligatures w14:val="none"/>
              </w:rPr>
              <w:br/>
            </w:r>
            <w:r w:rsidRPr="004D06D0">
              <w:rPr>
                <w:rFonts w:ascii="Verdana" w:hAnsi="Verdana" w:eastAsia="Times New Roman" w:cs="Times New Roman"/>
                <w:color w:val="000000"/>
                <w:kern w:val="0"/>
                <w:lang w:eastAsia="es-CO"/>
                <w14:ligatures w14:val="none"/>
              </w:rPr>
              <w:t>Agustín Codazzi (IGAC)</w:t>
            </w:r>
          </w:p>
        </w:tc>
        <w:tc>
          <w:tcPr>
            <w:tcW w:w="3000" w:type="dxa"/>
            <w:tcBorders>
              <w:top w:val="single" w:color="auto" w:sz="4" w:space="0"/>
              <w:left w:val="single" w:color="auto" w:sz="4" w:space="0"/>
              <w:bottom w:val="single" w:color="auto" w:sz="4" w:space="0"/>
              <w:right w:val="single" w:color="auto" w:sz="4" w:space="0"/>
            </w:tcBorders>
            <w:vAlign w:val="center"/>
            <w:hideMark/>
          </w:tcPr>
          <w:p w:rsidRPr="004D06D0" w:rsidR="00B61180" w:rsidP="00631238" w:rsidRDefault="00B61180" w14:paraId="1824FB9E" w14:textId="77777777">
            <w:pPr>
              <w:spacing w:after="0" w:line="240" w:lineRule="auto"/>
              <w:rPr>
                <w:rFonts w:ascii="Times New Roman" w:hAnsi="Times New Roman" w:eastAsia="Times New Roman" w:cs="Times New Roman"/>
                <w:kern w:val="0"/>
                <w:sz w:val="24"/>
                <w:szCs w:val="24"/>
                <w:lang w:eastAsia="es-CO"/>
                <w14:ligatures w14:val="none"/>
              </w:rPr>
            </w:pPr>
            <w:r w:rsidRPr="004D06D0">
              <w:rPr>
                <w:rFonts w:ascii="Verdana" w:hAnsi="Verdana" w:eastAsia="Times New Roman" w:cs="Times New Roman"/>
                <w:color w:val="000000"/>
                <w:kern w:val="0"/>
                <w:lang w:eastAsia="es-CO"/>
                <w14:ligatures w14:val="none"/>
              </w:rPr>
              <w:t>Competencia exclusiva</w:t>
            </w:r>
            <w:r w:rsidRPr="004D06D0">
              <w:rPr>
                <w:rFonts w:ascii="Verdana" w:hAnsi="Verdana" w:eastAsia="Times New Roman" w:cs="Times New Roman"/>
                <w:color w:val="000000"/>
                <w:kern w:val="0"/>
                <w:lang w:eastAsia="es-CO"/>
                <w14:ligatures w14:val="none"/>
              </w:rPr>
              <w:br/>
            </w:r>
            <w:r w:rsidRPr="004D06D0">
              <w:rPr>
                <w:rFonts w:ascii="Verdana" w:hAnsi="Verdana" w:eastAsia="Times New Roman" w:cs="Times New Roman"/>
                <w:color w:val="000000"/>
                <w:kern w:val="0"/>
                <w:lang w:eastAsia="es-CO"/>
                <w14:ligatures w14:val="none"/>
              </w:rPr>
              <w:t>del IGAC en materia</w:t>
            </w:r>
            <w:r w:rsidRPr="004D06D0">
              <w:rPr>
                <w:rFonts w:ascii="Verdana" w:hAnsi="Verdana" w:eastAsia="Times New Roman" w:cs="Times New Roman"/>
                <w:color w:val="000000"/>
                <w:kern w:val="0"/>
                <w:lang w:eastAsia="es-CO"/>
                <w14:ligatures w14:val="none"/>
              </w:rPr>
              <w:br/>
            </w:r>
            <w:r w:rsidRPr="004D06D0">
              <w:rPr>
                <w:rFonts w:ascii="Verdana" w:hAnsi="Verdana" w:eastAsia="Times New Roman" w:cs="Times New Roman"/>
                <w:color w:val="000000"/>
                <w:kern w:val="0"/>
                <w:lang w:eastAsia="es-CO"/>
                <w14:ligatures w14:val="none"/>
              </w:rPr>
              <w:t>catastral</w:t>
            </w:r>
          </w:p>
        </w:tc>
      </w:tr>
    </w:tbl>
    <w:p w:rsidR="00B61180" w:rsidP="00B61180" w:rsidRDefault="00B61180" w14:paraId="6933458C" w14:textId="77777777">
      <w:pPr>
        <w:ind w:left="-142"/>
        <w:jc w:val="both"/>
        <w:rPr>
          <w:rFonts w:ascii="Arial" w:hAnsi="Arial" w:cs="Arial"/>
          <w:sz w:val="24"/>
          <w:szCs w:val="24"/>
        </w:rPr>
      </w:pPr>
    </w:p>
    <w:p w:rsidR="00B61180" w:rsidP="00B61180" w:rsidRDefault="00B61180" w14:paraId="6F0000BF" w14:textId="77777777">
      <w:pPr>
        <w:ind w:left="-142"/>
        <w:jc w:val="both"/>
        <w:rPr>
          <w:rFonts w:ascii="Arial" w:hAnsi="Arial" w:cs="Arial"/>
          <w:sz w:val="24"/>
          <w:szCs w:val="24"/>
        </w:rPr>
      </w:pPr>
      <w:r w:rsidRPr="00DD7C0F">
        <w:rPr>
          <w:rFonts w:ascii="Arial" w:hAnsi="Arial" w:cs="Arial"/>
          <w:sz w:val="24"/>
          <w:szCs w:val="24"/>
        </w:rPr>
        <w:t xml:space="preserve">La relación de materias contenida en el presente capítulo tiene carácter orientador y no es taxativa. El sistema de fiscalización reconoce que, durante su implementación, podrán presentarse situaciones cuya atención corresponda a entidades distintas de las aquí relacionadas, caso en el cual se aplicarán los mecanismos de articulación y traslado previstos en el Capítulo 3, respetando la distribución constitucional y legal de competencias. En todos los casos, el sistema de fiscalización garantizará que las solicitudes formuladas por las comunidades reciban una respuesta institucional motivada, identificando la autoridad competente para conocer de cada asunto y facilitando su articulación con las entidades correspondientes. De esta manera, el sistema no limita el acceso de las comunidades a la institucionalidad; por el contrario, fortalece la coordinación interinstitucional, la transparencia y la trazabilidad de las actuaciones administrativas, contribuyendo a </w:t>
      </w:r>
      <w:r w:rsidRPr="00DD7C0F">
        <w:rPr>
          <w:rFonts w:ascii="Arial" w:hAnsi="Arial" w:cs="Arial"/>
          <w:sz w:val="24"/>
          <w:szCs w:val="24"/>
        </w:rPr>
        <w:t>una gestión integral, participativa y territorialmente articulada del complejo de páramos jurisdicción Santurbán-Berlín. </w:t>
      </w:r>
    </w:p>
    <w:p w:rsidR="00B61180" w:rsidP="00B61180" w:rsidRDefault="00B61180" w14:paraId="6E298703" w14:textId="77777777">
      <w:pPr>
        <w:ind w:left="360"/>
        <w:jc w:val="both"/>
        <w:rPr>
          <w:rFonts w:ascii="Arial" w:hAnsi="Arial" w:cs="Arial"/>
          <w:sz w:val="24"/>
          <w:szCs w:val="24"/>
        </w:rPr>
      </w:pPr>
    </w:p>
    <w:p w:rsidR="00B61180" w:rsidP="00B61180" w:rsidRDefault="00B61180" w14:paraId="4A2D6005" w14:textId="77777777">
      <w:pPr>
        <w:ind w:left="360"/>
        <w:jc w:val="both"/>
        <w:rPr>
          <w:rFonts w:ascii="Arial" w:hAnsi="Arial" w:cs="Arial"/>
          <w:sz w:val="24"/>
          <w:szCs w:val="24"/>
        </w:rPr>
      </w:pPr>
    </w:p>
    <w:p w:rsidR="00B61180" w:rsidP="00B61180" w:rsidRDefault="00B61180" w14:paraId="49C9893E" w14:textId="77777777">
      <w:pPr>
        <w:ind w:left="360"/>
        <w:jc w:val="both"/>
        <w:rPr>
          <w:rFonts w:ascii="Arial" w:hAnsi="Arial" w:cs="Arial"/>
          <w:sz w:val="24"/>
          <w:szCs w:val="24"/>
        </w:rPr>
      </w:pPr>
    </w:p>
    <w:p w:rsidR="00B61180" w:rsidP="00B61180" w:rsidRDefault="00B61180" w14:paraId="53A2D8CD" w14:textId="77777777">
      <w:pPr>
        <w:jc w:val="both"/>
        <w:rPr>
          <w:rFonts w:ascii="Arial" w:hAnsi="Arial" w:cs="Arial"/>
          <w:sz w:val="24"/>
          <w:szCs w:val="24"/>
        </w:rPr>
      </w:pPr>
    </w:p>
    <w:p w:rsidR="00DD64AB" w:rsidP="00DD64AB" w:rsidRDefault="00DD64AB" w14:paraId="320173EA" w14:textId="37B821E5">
      <w:pPr>
        <w:tabs>
          <w:tab w:val="left" w:pos="6776"/>
        </w:tabs>
        <w:rPr>
          <w:rFonts w:ascii="Verdana" w:hAnsi="Verdana" w:eastAsia="Times New Roman" w:cstheme="majorHAnsi"/>
          <w:b/>
          <w:bCs/>
          <w:color w:val="365F91"/>
          <w:kern w:val="0"/>
          <w:lang w:val="es-ES" w:eastAsia="es-CO"/>
          <w14:ligatures w14:val="none"/>
        </w:rPr>
      </w:pPr>
    </w:p>
    <w:p w:rsidR="00DD64AB" w:rsidP="00DD64AB" w:rsidRDefault="00DD64AB" w14:paraId="6284C6CF" w14:textId="77777777">
      <w:pPr>
        <w:tabs>
          <w:tab w:val="left" w:pos="6776"/>
        </w:tabs>
        <w:rPr>
          <w:rFonts w:ascii="Verdana" w:hAnsi="Verdana" w:eastAsia="Times New Roman" w:cstheme="majorHAnsi"/>
          <w:b/>
          <w:bCs/>
          <w:color w:val="365F91"/>
          <w:kern w:val="0"/>
          <w:lang w:val="es-ES" w:eastAsia="es-CO"/>
          <w14:ligatures w14:val="none"/>
        </w:rPr>
      </w:pPr>
    </w:p>
    <w:p w:rsidR="00DD64AB" w:rsidP="00DD64AB" w:rsidRDefault="00DD64AB" w14:paraId="2C402617" w14:textId="77777777">
      <w:pPr>
        <w:tabs>
          <w:tab w:val="left" w:pos="6776"/>
        </w:tabs>
        <w:rPr>
          <w:rFonts w:ascii="Verdana" w:hAnsi="Verdana" w:eastAsia="Times New Roman" w:cstheme="majorHAnsi"/>
          <w:b/>
          <w:bCs/>
          <w:color w:val="365F91"/>
          <w:kern w:val="0"/>
          <w:lang w:val="es-ES" w:eastAsia="es-CO"/>
          <w14:ligatures w14:val="none"/>
        </w:rPr>
      </w:pPr>
    </w:p>
    <w:p w:rsidR="00DD64AB" w:rsidP="00DD64AB" w:rsidRDefault="00DD64AB" w14:paraId="4C5B2860" w14:textId="77777777">
      <w:pPr>
        <w:tabs>
          <w:tab w:val="left" w:pos="6776"/>
        </w:tabs>
        <w:rPr>
          <w:rFonts w:ascii="Verdana" w:hAnsi="Verdana" w:eastAsia="Times New Roman" w:cstheme="majorHAnsi"/>
          <w:b/>
          <w:bCs/>
          <w:color w:val="365F91"/>
          <w:kern w:val="0"/>
          <w:lang w:val="es-ES" w:eastAsia="es-CO"/>
          <w14:ligatures w14:val="none"/>
        </w:rPr>
      </w:pPr>
    </w:p>
    <w:p w:rsidRPr="00DD64AB" w:rsidR="00DD64AB" w:rsidP="00DD64AB" w:rsidRDefault="00DD64AB" w14:paraId="15B1E246" w14:textId="77777777">
      <w:pPr>
        <w:tabs>
          <w:tab w:val="left" w:pos="6776"/>
        </w:tabs>
        <w:rPr>
          <w:rFonts w:ascii="Verdana" w:hAnsi="Verdana"/>
          <w:lang w:val="es-ES"/>
        </w:rPr>
      </w:pPr>
    </w:p>
    <w:sectPr w:rsidRPr="00DD64AB" w:rsidR="00DD64AB" w:rsidSect="00676FD3">
      <w:headerReference w:type="default" r:id="rId21"/>
      <w:footerReference w:type="default" r:id="rId22"/>
      <w:pgSz w:w="12240" w:h="15840" w:orient="portrait"/>
      <w:pgMar w:top="1480" w:right="1600" w:bottom="280" w:left="1720" w:header="0" w:footer="124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7979F6" w:rsidP="00757B36" w:rsidRDefault="007979F6" w14:paraId="4678EA45" w14:textId="77777777">
      <w:pPr>
        <w:spacing w:after="0" w:line="240" w:lineRule="auto"/>
      </w:pPr>
      <w:r>
        <w:separator/>
      </w:r>
    </w:p>
  </w:endnote>
  <w:endnote w:type="continuationSeparator" w:id="0">
    <w:p w:rsidR="007979F6" w:rsidP="00757B36" w:rsidRDefault="007979F6" w14:paraId="113A66F1"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Verdana-Bold">
    <w:altName w:val="Verdana"/>
    <w:panose1 w:val="020B0604020202020204"/>
    <w:charset w:val="00"/>
    <w:family w:val="roman"/>
    <w:pitch w:val="default"/>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du wp14">
  <w:sdt>
    <w:sdtPr>
      <w:rPr>
        <w:lang w:val="es-ES"/>
      </w:rPr>
      <w:id w:val="-1071572585"/>
      <w:docPartObj>
        <w:docPartGallery w:val="Page Numbers (Bottom of Page)"/>
        <w:docPartUnique/>
      </w:docPartObj>
    </w:sdtPr>
    <w:sdtEndPr>
      <w:rPr>
        <w:rFonts w:ascii="Verdana" w:hAnsi="Verdana"/>
        <w:color w:val="000000"/>
        <w:sz w:val="18"/>
        <w:szCs w:val="18"/>
        <w:lang w:val="es-CO"/>
      </w:rPr>
    </w:sdtEndPr>
    <w:sdtContent>
      <w:p w:rsidRPr="003A3319" w:rsidR="0022254F" w:rsidP="0022254F" w:rsidRDefault="00044DA8" w14:paraId="795CDCB7" w14:textId="7D0C18B0">
        <w:pPr>
          <w:pStyle w:val="Piedepgina"/>
          <w:jc w:val="right"/>
          <w:rPr>
            <w:rFonts w:ascii="Verdana" w:hAnsi="Verdana"/>
            <w:color w:val="000000"/>
            <w:sz w:val="18"/>
            <w:szCs w:val="18"/>
          </w:rPr>
        </w:pPr>
        <w:r>
          <w:rPr>
            <w:noProof/>
          </w:rPr>
          <mc:AlternateContent>
            <mc:Choice Requires="wps">
              <w:drawing>
                <wp:anchor distT="0" distB="0" distL="114300" distR="114300" simplePos="0" relativeHeight="251658241" behindDoc="0" locked="0" layoutInCell="1" allowOverlap="1" wp14:anchorId="089BF387" wp14:editId="0859EE00">
                  <wp:simplePos x="0" y="0"/>
                  <wp:positionH relativeFrom="margin">
                    <wp:posOffset>-99060</wp:posOffset>
                  </wp:positionH>
                  <wp:positionV relativeFrom="paragraph">
                    <wp:posOffset>-53975</wp:posOffset>
                  </wp:positionV>
                  <wp:extent cx="5457825" cy="1029970"/>
                  <wp:effectExtent l="0" t="0" r="0" b="0"/>
                  <wp:wrapNone/>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57825" cy="1029970"/>
                          </a:xfrm>
                          <a:prstGeom prst="rect">
                            <a:avLst/>
                          </a:prstGeom>
                          <a:noFill/>
                          <a:ln w="6350">
                            <a:noFill/>
                          </a:ln>
                        </wps:spPr>
                        <wps:txbx>
                          <w:txbxContent>
                            <w:p w:rsidRPr="00256928" w:rsidR="00D34D20" w:rsidP="00D34D20" w:rsidRDefault="00D34D20" w14:paraId="79D92C5A" w14:textId="5628690E">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p w:rsidRPr="003A3319" w:rsidR="00D34D20" w:rsidP="00D34D20" w:rsidRDefault="00726A3B" w14:paraId="1B8765A5" w14:textId="4A83745E">
                              <w:pPr>
                                <w:spacing w:after="0" w:line="276" w:lineRule="auto"/>
                                <w:jc w:val="both"/>
                                <w:rPr>
                                  <w:rFonts w:ascii="Verdana" w:hAnsi="Verdana"/>
                                  <w:b/>
                                  <w:bCs/>
                                  <w:sz w:val="18"/>
                                  <w:szCs w:val="18"/>
                                </w:rPr>
                              </w:pPr>
                              <w:r w:rsidRPr="003A3319">
                                <w:rPr>
                                  <w:rFonts w:ascii="Verdana" w:hAnsi="Verdana"/>
                                  <w:b/>
                                  <w:bCs/>
                                  <w:sz w:val="18"/>
                                  <w:szCs w:val="18"/>
                                </w:rPr>
                                <w:t>Ministerio de Ambiente y Desarrollo Sostenible</w:t>
                              </w:r>
                            </w:p>
                            <w:p w:rsidRPr="003A3319" w:rsidR="00D34D20" w:rsidP="00D34D20" w:rsidRDefault="00D34D20" w14:paraId="3453229D" w14:textId="40C075EB">
                              <w:pPr>
                                <w:spacing w:after="0" w:line="276" w:lineRule="auto"/>
                                <w:jc w:val="both"/>
                                <w:rPr>
                                  <w:rFonts w:ascii="Verdana" w:hAnsi="Verdana"/>
                                  <w:sz w:val="18"/>
                                  <w:szCs w:val="18"/>
                                </w:rPr>
                              </w:pPr>
                              <w:r w:rsidRPr="003A3319">
                                <w:rPr>
                                  <w:rFonts w:ascii="Verdana" w:hAnsi="Verdana"/>
                                  <w:sz w:val="18"/>
                                  <w:szCs w:val="18"/>
                                </w:rPr>
                                <w:t xml:space="preserve">Dirección: </w:t>
                              </w:r>
                              <w:r w:rsidRPr="003A3319" w:rsidR="0022254F">
                                <w:rPr>
                                  <w:rFonts w:ascii="Verdana" w:hAnsi="Verdana"/>
                                  <w:sz w:val="18"/>
                                  <w:szCs w:val="18"/>
                                </w:rPr>
                                <w:t xml:space="preserve">Calle 37 #8 - 40, Bogotá D.C., Colombia </w:t>
                              </w:r>
                            </w:p>
                            <w:p w:rsidRPr="003A3319" w:rsidR="00D34D20" w:rsidP="00D34D20" w:rsidRDefault="00D34D20" w14:paraId="7463B94C" w14:textId="6C100408">
                              <w:pPr>
                                <w:spacing w:after="0" w:line="276" w:lineRule="auto"/>
                                <w:jc w:val="both"/>
                                <w:rPr>
                                  <w:rFonts w:ascii="Verdana" w:hAnsi="Verdana"/>
                                  <w:sz w:val="18"/>
                                  <w:szCs w:val="18"/>
                                </w:rPr>
                              </w:pPr>
                              <w:r w:rsidRPr="003A3319">
                                <w:rPr>
                                  <w:rFonts w:ascii="Verdana" w:hAnsi="Verdana"/>
                                  <w:sz w:val="18"/>
                                  <w:szCs w:val="18"/>
                                </w:rPr>
                                <w:t xml:space="preserve">Conmutador: (+57) </w:t>
                              </w:r>
                              <w:r w:rsidRPr="003A3319" w:rsidR="0022254F">
                                <w:rPr>
                                  <w:rFonts w:ascii="Verdana" w:hAnsi="Verdana"/>
                                  <w:sz w:val="18"/>
                                  <w:szCs w:val="18"/>
                                </w:rPr>
                                <w:t xml:space="preserve">601 332 3400 - </w:t>
                              </w:r>
                              <w:r w:rsidRPr="0098792B" w:rsidR="0098792B">
                                <w:rPr>
                                  <w:rFonts w:ascii="Verdana" w:hAnsi="Verdana"/>
                                  <w:sz w:val="18"/>
                                  <w:szCs w:val="18"/>
                                </w:rPr>
                                <w:t>3133463676</w:t>
                              </w:r>
                            </w:p>
                            <w:p w:rsidRPr="003A3319" w:rsidR="00D34D20" w:rsidP="00256928" w:rsidRDefault="00D34D20" w14:paraId="3F743D65" w14:textId="03C32F22">
                              <w:pPr>
                                <w:spacing w:after="0" w:line="276" w:lineRule="auto"/>
                                <w:jc w:val="both"/>
                                <w:rPr>
                                  <w:rFonts w:ascii="Verdana" w:hAnsi="Verdana"/>
                                  <w:sz w:val="18"/>
                                  <w:szCs w:val="18"/>
                                </w:rPr>
                              </w:pPr>
                              <w:r w:rsidRPr="003A3319">
                                <w:rPr>
                                  <w:rFonts w:ascii="Verdana" w:hAnsi="Verdana"/>
                                  <w:sz w:val="18"/>
                                  <w:szCs w:val="18"/>
                                </w:rPr>
                                <w:t xml:space="preserve">Línea Gratuita: (+57) </w:t>
                              </w:r>
                              <w:r w:rsidRPr="003A3319" w:rsidR="009E28CB">
                                <w:rPr>
                                  <w:rFonts w:ascii="Verdana" w:hAnsi="Verdana"/>
                                  <w:sz w:val="18"/>
                                  <w:szCs w:val="18"/>
                                </w:rPr>
                                <w:t>01 8000 919301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31D624CB">
                <v:shapetype id="_x0000_t202" coordsize="21600,21600" o:spt="202" path="m,l,21600r21600,l21600,xe" w14:anchorId="089BF387">
                  <v:stroke joinstyle="miter"/>
                  <v:path gradientshapeok="t" o:connecttype="rect"/>
                </v:shapetype>
                <v:shape id="Cuadro de texto 2" style="position:absolute;left:0;text-align:left;margin-left:-7.8pt;margin-top:-4.25pt;width:429.75pt;height:81.1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spid="_x0000_s1026"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">
                  <v:textbox>
                    <w:txbxContent>
                      <w:p w:rsidRPr="00256928" w:rsidR="00D34D20" w:rsidP="00D34D20" w:rsidRDefault="00D34D20" w14:paraId="342BE111" w14:textId="5628690E">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p w:rsidRPr="003A3319" w:rsidR="00D34D20" w:rsidP="00D34D20" w:rsidRDefault="00726A3B" w14:paraId="485BAFCA" w14:textId="4A83745E">
                        <w:pPr>
                          <w:spacing w:after="0" w:line="276" w:lineRule="auto"/>
                          <w:jc w:val="both"/>
                          <w:rPr>
                            <w:rFonts w:ascii="Verdana" w:hAnsi="Verdana"/>
                            <w:b/>
                            <w:bCs/>
                            <w:sz w:val="18"/>
                            <w:szCs w:val="18"/>
                          </w:rPr>
                        </w:pPr>
                        <w:r w:rsidRPr="003A3319">
                          <w:rPr>
                            <w:rFonts w:ascii="Verdana" w:hAnsi="Verdana"/>
                            <w:b/>
                            <w:bCs/>
                            <w:sz w:val="18"/>
                            <w:szCs w:val="18"/>
                          </w:rPr>
                          <w:t>Ministerio de Ambiente y Desarrollo Sostenible</w:t>
                        </w:r>
                      </w:p>
                      <w:p w:rsidRPr="003A3319" w:rsidR="00D34D20" w:rsidP="00D34D20" w:rsidRDefault="00D34D20" w14:paraId="4C5F11BA" w14:textId="40C075EB">
                        <w:pPr>
                          <w:spacing w:after="0" w:line="276" w:lineRule="auto"/>
                          <w:jc w:val="both"/>
                          <w:rPr>
                            <w:rFonts w:ascii="Verdana" w:hAnsi="Verdana"/>
                            <w:sz w:val="18"/>
                            <w:szCs w:val="18"/>
                          </w:rPr>
                        </w:pPr>
                        <w:r w:rsidRPr="003A3319">
                          <w:rPr>
                            <w:rFonts w:ascii="Verdana" w:hAnsi="Verdana"/>
                            <w:sz w:val="18"/>
                            <w:szCs w:val="18"/>
                          </w:rPr>
                          <w:t xml:space="preserve">Dirección: </w:t>
                        </w:r>
                        <w:r w:rsidRPr="003A3319" w:rsidR="0022254F">
                          <w:rPr>
                            <w:rFonts w:ascii="Verdana" w:hAnsi="Verdana"/>
                            <w:sz w:val="18"/>
                            <w:szCs w:val="18"/>
                          </w:rPr>
                          <w:t xml:space="preserve">Calle 37 #8 - 40, Bogotá D.C., Colombia </w:t>
                        </w:r>
                      </w:p>
                      <w:p w:rsidRPr="003A3319" w:rsidR="00D34D20" w:rsidP="00D34D20" w:rsidRDefault="00D34D20" w14:paraId="707D71C9" w14:textId="6C100408">
                        <w:pPr>
                          <w:spacing w:after="0" w:line="276" w:lineRule="auto"/>
                          <w:jc w:val="both"/>
                          <w:rPr>
                            <w:rFonts w:ascii="Verdana" w:hAnsi="Verdana"/>
                            <w:sz w:val="18"/>
                            <w:szCs w:val="18"/>
                          </w:rPr>
                        </w:pPr>
                        <w:r w:rsidRPr="003A3319">
                          <w:rPr>
                            <w:rFonts w:ascii="Verdana" w:hAnsi="Verdana"/>
                            <w:sz w:val="18"/>
                            <w:szCs w:val="18"/>
                          </w:rPr>
                          <w:t xml:space="preserve">Conmutador: (+57) </w:t>
                        </w:r>
                        <w:r w:rsidRPr="003A3319" w:rsidR="0022254F">
                          <w:rPr>
                            <w:rFonts w:ascii="Verdana" w:hAnsi="Verdana"/>
                            <w:sz w:val="18"/>
                            <w:szCs w:val="18"/>
                          </w:rPr>
                          <w:t xml:space="preserve">601 332 3400 - </w:t>
                        </w:r>
                        <w:r w:rsidRPr="0098792B" w:rsidR="0098792B">
                          <w:rPr>
                            <w:rFonts w:ascii="Verdana" w:hAnsi="Verdana"/>
                            <w:sz w:val="18"/>
                            <w:szCs w:val="18"/>
                          </w:rPr>
                          <w:t>3133463676</w:t>
                        </w:r>
                      </w:p>
                      <w:p w:rsidRPr="003A3319" w:rsidR="00D34D20" w:rsidP="00256928" w:rsidRDefault="00D34D20" w14:paraId="5458141D" w14:textId="03C32F22">
                        <w:pPr>
                          <w:spacing w:after="0" w:line="276" w:lineRule="auto"/>
                          <w:jc w:val="both"/>
                          <w:rPr>
                            <w:rFonts w:ascii="Verdana" w:hAnsi="Verdana"/>
                            <w:sz w:val="18"/>
                            <w:szCs w:val="18"/>
                          </w:rPr>
                        </w:pPr>
                        <w:r w:rsidRPr="003A3319">
                          <w:rPr>
                            <w:rFonts w:ascii="Verdana" w:hAnsi="Verdana"/>
                            <w:sz w:val="18"/>
                            <w:szCs w:val="18"/>
                          </w:rPr>
                          <w:t xml:space="preserve">Línea Gratuita: (+57) </w:t>
                        </w:r>
                        <w:r w:rsidRPr="003A3319" w:rsidR="009E28CB">
                          <w:rPr>
                            <w:rFonts w:ascii="Verdana" w:hAnsi="Verdana"/>
                            <w:sz w:val="18"/>
                            <w:szCs w:val="18"/>
                          </w:rPr>
                          <w:t>01 8000 919301</w:t>
                        </w:r>
                      </w:p>
                    </w:txbxContent>
                  </v:textbox>
                  <w10:wrap anchorx="margin"/>
                </v:shape>
              </w:pict>
            </mc:Fallback>
          </mc:AlternateContent>
        </w:r>
        <w:r w:rsidRPr="003A3319" w:rsidR="0022254F">
          <w:rPr>
            <w:rFonts w:ascii="Verdana" w:hAnsi="Verdana"/>
            <w:color w:val="000000"/>
            <w:sz w:val="18"/>
            <w:szCs w:val="18"/>
          </w:rPr>
          <w:t xml:space="preserve">Página </w:t>
        </w:r>
        <w:r w:rsidRPr="003A3319" w:rsidR="0022254F">
          <w:rPr>
            <w:rFonts w:ascii="Verdana" w:hAnsi="Verdana"/>
            <w:color w:val="000000"/>
            <w:sz w:val="18"/>
            <w:szCs w:val="18"/>
          </w:rPr>
          <w:fldChar w:fldCharType="begin"/>
        </w:r>
        <w:r w:rsidRPr="003A3319" w:rsidR="0022254F">
          <w:rPr>
            <w:rFonts w:ascii="Verdana" w:hAnsi="Verdana"/>
            <w:color w:val="000000"/>
            <w:sz w:val="18"/>
            <w:szCs w:val="18"/>
          </w:rPr>
          <w:instrText>PAGE   \* MERGEFORMAT</w:instrText>
        </w:r>
        <w:r w:rsidRPr="003A3319" w:rsidR="0022254F">
          <w:rPr>
            <w:rFonts w:ascii="Verdana" w:hAnsi="Verdana"/>
            <w:color w:val="000000"/>
            <w:sz w:val="18"/>
            <w:szCs w:val="18"/>
          </w:rPr>
          <w:fldChar w:fldCharType="separate"/>
        </w:r>
        <w:r w:rsidRPr="003A3319" w:rsidR="0022254F">
          <w:rPr>
            <w:rFonts w:ascii="Verdana" w:hAnsi="Verdana"/>
            <w:color w:val="000000"/>
            <w:sz w:val="18"/>
            <w:szCs w:val="18"/>
          </w:rPr>
          <w:t>2</w:t>
        </w:r>
        <w:r w:rsidRPr="003A3319" w:rsidR="0022254F">
          <w:rPr>
            <w:rFonts w:ascii="Verdana" w:hAnsi="Verdana"/>
            <w:color w:val="000000"/>
            <w:sz w:val="18"/>
            <w:szCs w:val="18"/>
          </w:rPr>
          <w:fldChar w:fldCharType="end"/>
        </w:r>
        <w:r w:rsidRPr="003A3319" w:rsidR="0022254F">
          <w:rPr>
            <w:rFonts w:ascii="Verdana" w:hAnsi="Verdana"/>
            <w:color w:val="000000"/>
            <w:sz w:val="18"/>
            <w:szCs w:val="18"/>
          </w:rPr>
          <w:t xml:space="preserve"> | </w:t>
        </w:r>
        <w:r w:rsidRPr="003A3319" w:rsidR="0022254F">
          <w:rPr>
            <w:rFonts w:ascii="Verdana" w:hAnsi="Verdana"/>
            <w:color w:val="000000"/>
            <w:sz w:val="18"/>
            <w:szCs w:val="18"/>
          </w:rPr>
          <w:fldChar w:fldCharType="begin"/>
        </w:r>
        <w:r w:rsidRPr="003A3319" w:rsidR="0022254F">
          <w:rPr>
            <w:rFonts w:ascii="Verdana" w:hAnsi="Verdana"/>
            <w:color w:val="000000"/>
            <w:sz w:val="18"/>
            <w:szCs w:val="18"/>
          </w:rPr>
          <w:instrText>NUMPAGES  \* Arabic  \* MERGEFORMAT</w:instrText>
        </w:r>
        <w:r w:rsidRPr="003A3319" w:rsidR="0022254F">
          <w:rPr>
            <w:rFonts w:ascii="Verdana" w:hAnsi="Verdana"/>
            <w:color w:val="000000"/>
            <w:sz w:val="18"/>
            <w:szCs w:val="18"/>
          </w:rPr>
          <w:fldChar w:fldCharType="separate"/>
        </w:r>
        <w:r w:rsidRPr="003A3319" w:rsidR="0022254F">
          <w:rPr>
            <w:rFonts w:ascii="Verdana" w:hAnsi="Verdana"/>
            <w:color w:val="000000"/>
            <w:sz w:val="18"/>
            <w:szCs w:val="18"/>
          </w:rPr>
          <w:t>2</w:t>
        </w:r>
        <w:r w:rsidRPr="003A3319" w:rsidR="0022254F">
          <w:rPr>
            <w:rFonts w:ascii="Verdana" w:hAnsi="Verdana"/>
            <w:color w:val="000000"/>
            <w:sz w:val="18"/>
            <w:szCs w:val="18"/>
          </w:rPr>
          <w:fldChar w:fldCharType="end"/>
        </w:r>
      </w:p>
      <w:p w:rsidRPr="003A3319" w:rsidR="0022254F" w:rsidP="0022254F" w:rsidRDefault="00000000" w14:paraId="2E27CAF7" w14:textId="0F41A7D3">
        <w:pPr>
          <w:pStyle w:val="Piedepgina"/>
          <w:jc w:val="right"/>
          <w:rPr>
            <w:rFonts w:ascii="Verdana" w:hAnsi="Verdana"/>
            <w:color w:val="000000"/>
            <w:sz w:val="18"/>
            <w:szCs w:val="18"/>
          </w:rPr>
        </w:pPr>
      </w:p>
    </w:sdtContent>
  </w:sdt>
  <w:p w:rsidRPr="003A3319" w:rsidR="00EA4BE4" w:rsidP="00EA4BE4" w:rsidRDefault="00EA4BE4" w14:paraId="64D00525" w14:textId="140CFF39">
    <w:pPr>
      <w:pStyle w:val="Piedepgina"/>
      <w:jc w:val="right"/>
      <w:rPr>
        <w:rFonts w:ascii="Verdana" w:hAnsi="Verdana"/>
        <w:sz w:val="18"/>
        <w:szCs w:val="18"/>
      </w:rPr>
    </w:pPr>
    <w:r w:rsidRPr="003A3319">
      <w:rPr>
        <w:rFonts w:ascii="Verdana" w:hAnsi="Verdana"/>
        <w:sz w:val="18"/>
        <w:szCs w:val="18"/>
      </w:rPr>
      <w:t xml:space="preserve">F-E-SIG-26:V7 </w:t>
    </w:r>
    <w:r w:rsidR="003A3319">
      <w:rPr>
        <w:rFonts w:ascii="Verdana" w:hAnsi="Verdana"/>
        <w:sz w:val="18"/>
        <w:szCs w:val="18"/>
      </w:rPr>
      <w:t>02-08-</w:t>
    </w:r>
    <w:r w:rsidRPr="003A3319">
      <w:rPr>
        <w:rFonts w:ascii="Verdana" w:hAnsi="Verdana"/>
        <w:sz w:val="18"/>
        <w:szCs w:val="18"/>
      </w:rPr>
      <w:t>2024</w:t>
    </w:r>
  </w:p>
  <w:p w:rsidRPr="00D34D20" w:rsidR="00D34D20" w:rsidP="00D34D20" w:rsidRDefault="00D34D20" w14:paraId="409F4B9A" w14:textId="79830460">
    <w:pPr>
      <w:spacing w:after="0" w:line="276" w:lineRule="auto"/>
      <w:jc w:val="both"/>
      <w:rPr>
        <w:rFonts w:ascii="Helvetica" w:hAnsi="Helvetic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7979F6" w:rsidP="00757B36" w:rsidRDefault="007979F6" w14:paraId="1D6B66B4" w14:textId="77777777">
      <w:pPr>
        <w:spacing w:after="0" w:line="240" w:lineRule="auto"/>
      </w:pPr>
      <w:r>
        <w:separator/>
      </w:r>
    </w:p>
  </w:footnote>
  <w:footnote w:type="continuationSeparator" w:id="0">
    <w:p w:rsidR="007979F6" w:rsidP="00757B36" w:rsidRDefault="007979F6" w14:paraId="5B1998CD"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00757B36" w:rsidRDefault="00757B36" w14:paraId="5FF8CE25" w14:textId="77777777">
    <w:pPr>
      <w:pStyle w:val="Encabezado"/>
    </w:pPr>
    <w:r>
      <w:rPr>
        <w:noProof/>
        <w:lang w:val="en-US"/>
      </w:rPr>
      <w:drawing>
        <wp:anchor distT="0" distB="0" distL="114300" distR="114300" simplePos="0" relativeHeight="251658240" behindDoc="1" locked="0" layoutInCell="1" allowOverlap="1" wp14:anchorId="4B676E97" wp14:editId="174FF380">
          <wp:simplePos x="0" y="0"/>
          <wp:positionH relativeFrom="page">
            <wp:posOffset>6674</wp:posOffset>
          </wp:positionH>
          <wp:positionV relativeFrom="paragraph">
            <wp:posOffset>-436231</wp:posOffset>
          </wp:positionV>
          <wp:extent cx="7756896" cy="10051011"/>
          <wp:effectExtent l="0" t="0" r="0" b="0"/>
          <wp:wrapNone/>
          <wp:docPr id="1750966253" name="Imagen 1750966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993281" name="Imagen 161599328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56896" cy="10051011"/>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intelligence2.xml><?xml version="1.0" encoding="utf-8"?>
<int2:intelligence xmlns:int2="http://schemas.microsoft.com/office/intelligence/2020/intelligence" xmlns:oel="http://schemas.microsoft.com/office/2019/extlst">
  <int2:observations>
    <int2:textHash int2:hashCode="ikuBYXH1GTPn8N" int2:id="tQAinyYy">
      <int2:state int2:value="Rejected" int2:type="spell"/>
    </int2:textHash>
    <int2:textHash int2:hashCode="lyNGl5+uasleg/" int2:id="AP7dGPs1">
      <int2:state int2:value="Rejected" int2:type="spell"/>
    </int2:textHash>
    <int2:textHash int2:hashCode="goeMzBdQL3LFBs" int2:id="ttukyRp8">
      <int2:state int2:value="Rejected" int2:type="spell"/>
    </int2:textHash>
    <int2:textHash int2:hashCode="lkfe/EHC4ABvOK" int2:id="9uEV9FYs">
      <int2:state int2:value="Rejected" int2:type="spell"/>
    </int2:textHash>
    <int2:textHash int2:hashCode="sBq5/q0nz2IAkf" int2:id="cZqBI71q">
      <int2:state int2:value="Rejected" int2:type="spell"/>
    </int2:textHash>
    <int2:textHash int2:hashCode="56rljj/vgjWQvc" int2:id="MShwasnN">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326538"/>
    <w:multiLevelType w:val="multilevel"/>
    <w:tmpl w:val="A788B8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7E3610"/>
    <w:multiLevelType w:val="hybridMultilevel"/>
    <w:tmpl w:val="AF7E28A4"/>
    <w:lvl w:ilvl="0" w:tplc="910E2B56">
      <w:start w:val="4"/>
      <w:numFmt w:val="decimal"/>
      <w:lvlText w:val="%1."/>
      <w:lvlJc w:val="left"/>
      <w:pPr>
        <w:ind w:left="720" w:hanging="360"/>
      </w:pPr>
    </w:lvl>
    <w:lvl w:ilvl="1" w:tplc="D7440AC6">
      <w:start w:val="1"/>
      <w:numFmt w:val="lowerLetter"/>
      <w:lvlText w:val="%2."/>
      <w:lvlJc w:val="left"/>
      <w:pPr>
        <w:ind w:left="1440" w:hanging="360"/>
      </w:pPr>
    </w:lvl>
    <w:lvl w:ilvl="2" w:tplc="CA64D7F8">
      <w:start w:val="1"/>
      <w:numFmt w:val="lowerRoman"/>
      <w:lvlText w:val="%3."/>
      <w:lvlJc w:val="right"/>
      <w:pPr>
        <w:ind w:left="2160" w:hanging="180"/>
      </w:pPr>
    </w:lvl>
    <w:lvl w:ilvl="3" w:tplc="DD5CAC40">
      <w:start w:val="1"/>
      <w:numFmt w:val="decimal"/>
      <w:lvlText w:val="%4."/>
      <w:lvlJc w:val="left"/>
      <w:pPr>
        <w:ind w:left="2880" w:hanging="360"/>
      </w:pPr>
    </w:lvl>
    <w:lvl w:ilvl="4" w:tplc="BB8A438E">
      <w:start w:val="1"/>
      <w:numFmt w:val="lowerLetter"/>
      <w:lvlText w:val="%5."/>
      <w:lvlJc w:val="left"/>
      <w:pPr>
        <w:ind w:left="3600" w:hanging="360"/>
      </w:pPr>
    </w:lvl>
    <w:lvl w:ilvl="5" w:tplc="2FDECB46">
      <w:start w:val="1"/>
      <w:numFmt w:val="lowerRoman"/>
      <w:lvlText w:val="%6."/>
      <w:lvlJc w:val="right"/>
      <w:pPr>
        <w:ind w:left="4320" w:hanging="180"/>
      </w:pPr>
    </w:lvl>
    <w:lvl w:ilvl="6" w:tplc="C9CAD1F0">
      <w:start w:val="1"/>
      <w:numFmt w:val="decimal"/>
      <w:lvlText w:val="%7."/>
      <w:lvlJc w:val="left"/>
      <w:pPr>
        <w:ind w:left="5040" w:hanging="360"/>
      </w:pPr>
    </w:lvl>
    <w:lvl w:ilvl="7" w:tplc="5E78B5D0">
      <w:start w:val="1"/>
      <w:numFmt w:val="lowerLetter"/>
      <w:lvlText w:val="%8."/>
      <w:lvlJc w:val="left"/>
      <w:pPr>
        <w:ind w:left="5760" w:hanging="360"/>
      </w:pPr>
    </w:lvl>
    <w:lvl w:ilvl="8" w:tplc="815E52D2">
      <w:start w:val="1"/>
      <w:numFmt w:val="lowerRoman"/>
      <w:lvlText w:val="%9."/>
      <w:lvlJc w:val="right"/>
      <w:pPr>
        <w:ind w:left="6480" w:hanging="180"/>
      </w:pPr>
    </w:lvl>
  </w:abstractNum>
  <w:abstractNum w:abstractNumId="2" w15:restartNumberingAfterBreak="0">
    <w:nsid w:val="04C532D4"/>
    <w:multiLevelType w:val="multilevel"/>
    <w:tmpl w:val="5D5AA19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05D624DB"/>
    <w:multiLevelType w:val="hybridMultilevel"/>
    <w:tmpl w:val="D8D869A4"/>
    <w:lvl w:ilvl="0" w:tplc="C6EAB928">
      <w:start w:val="1"/>
      <w:numFmt w:val="lowerLetter"/>
      <w:lvlText w:val="%1)"/>
      <w:lvlJc w:val="left"/>
      <w:pPr>
        <w:ind w:left="735" w:hanging="37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619125C"/>
    <w:multiLevelType w:val="multilevel"/>
    <w:tmpl w:val="2B723C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7991DB1"/>
    <w:multiLevelType w:val="multilevel"/>
    <w:tmpl w:val="87728906"/>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07C24D50"/>
    <w:multiLevelType w:val="hybridMultilevel"/>
    <w:tmpl w:val="945C2B04"/>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090A6AE8"/>
    <w:multiLevelType w:val="hybridMultilevel"/>
    <w:tmpl w:val="BC28E08E"/>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09DD0464"/>
    <w:multiLevelType w:val="hybridMultilevel"/>
    <w:tmpl w:val="511E78DC"/>
    <w:lvl w:ilvl="0" w:tplc="9EEC6EA4">
      <w:numFmt w:val="bullet"/>
      <w:lvlText w:val="•"/>
      <w:lvlJc w:val="left"/>
      <w:pPr>
        <w:ind w:left="1080" w:hanging="360"/>
      </w:pPr>
      <w:rPr>
        <w:rFonts w:hint="default" w:ascii="Arial" w:hAnsi="Arial" w:cs="Arial" w:eastAsiaTheme="minorHAnsi"/>
      </w:rPr>
    </w:lvl>
    <w:lvl w:ilvl="1" w:tplc="240A0003" w:tentative="1">
      <w:start w:val="1"/>
      <w:numFmt w:val="bullet"/>
      <w:lvlText w:val="o"/>
      <w:lvlJc w:val="left"/>
      <w:pPr>
        <w:ind w:left="1800" w:hanging="360"/>
      </w:pPr>
      <w:rPr>
        <w:rFonts w:hint="default" w:ascii="Courier New" w:hAnsi="Courier New" w:cs="Courier New"/>
      </w:rPr>
    </w:lvl>
    <w:lvl w:ilvl="2" w:tplc="240A0005" w:tentative="1">
      <w:start w:val="1"/>
      <w:numFmt w:val="bullet"/>
      <w:lvlText w:val=""/>
      <w:lvlJc w:val="left"/>
      <w:pPr>
        <w:ind w:left="2520" w:hanging="360"/>
      </w:pPr>
      <w:rPr>
        <w:rFonts w:hint="default" w:ascii="Wingdings" w:hAnsi="Wingdings"/>
      </w:rPr>
    </w:lvl>
    <w:lvl w:ilvl="3" w:tplc="240A0001" w:tentative="1">
      <w:start w:val="1"/>
      <w:numFmt w:val="bullet"/>
      <w:lvlText w:val=""/>
      <w:lvlJc w:val="left"/>
      <w:pPr>
        <w:ind w:left="3240" w:hanging="360"/>
      </w:pPr>
      <w:rPr>
        <w:rFonts w:hint="default" w:ascii="Symbol" w:hAnsi="Symbol"/>
      </w:rPr>
    </w:lvl>
    <w:lvl w:ilvl="4" w:tplc="240A0003" w:tentative="1">
      <w:start w:val="1"/>
      <w:numFmt w:val="bullet"/>
      <w:lvlText w:val="o"/>
      <w:lvlJc w:val="left"/>
      <w:pPr>
        <w:ind w:left="3960" w:hanging="360"/>
      </w:pPr>
      <w:rPr>
        <w:rFonts w:hint="default" w:ascii="Courier New" w:hAnsi="Courier New" w:cs="Courier New"/>
      </w:rPr>
    </w:lvl>
    <w:lvl w:ilvl="5" w:tplc="240A0005" w:tentative="1">
      <w:start w:val="1"/>
      <w:numFmt w:val="bullet"/>
      <w:lvlText w:val=""/>
      <w:lvlJc w:val="left"/>
      <w:pPr>
        <w:ind w:left="4680" w:hanging="360"/>
      </w:pPr>
      <w:rPr>
        <w:rFonts w:hint="default" w:ascii="Wingdings" w:hAnsi="Wingdings"/>
      </w:rPr>
    </w:lvl>
    <w:lvl w:ilvl="6" w:tplc="240A0001" w:tentative="1">
      <w:start w:val="1"/>
      <w:numFmt w:val="bullet"/>
      <w:lvlText w:val=""/>
      <w:lvlJc w:val="left"/>
      <w:pPr>
        <w:ind w:left="5400" w:hanging="360"/>
      </w:pPr>
      <w:rPr>
        <w:rFonts w:hint="default" w:ascii="Symbol" w:hAnsi="Symbol"/>
      </w:rPr>
    </w:lvl>
    <w:lvl w:ilvl="7" w:tplc="240A0003" w:tentative="1">
      <w:start w:val="1"/>
      <w:numFmt w:val="bullet"/>
      <w:lvlText w:val="o"/>
      <w:lvlJc w:val="left"/>
      <w:pPr>
        <w:ind w:left="6120" w:hanging="360"/>
      </w:pPr>
      <w:rPr>
        <w:rFonts w:hint="default" w:ascii="Courier New" w:hAnsi="Courier New" w:cs="Courier New"/>
      </w:rPr>
    </w:lvl>
    <w:lvl w:ilvl="8" w:tplc="240A0005" w:tentative="1">
      <w:start w:val="1"/>
      <w:numFmt w:val="bullet"/>
      <w:lvlText w:val=""/>
      <w:lvlJc w:val="left"/>
      <w:pPr>
        <w:ind w:left="6840" w:hanging="360"/>
      </w:pPr>
      <w:rPr>
        <w:rFonts w:hint="default" w:ascii="Wingdings" w:hAnsi="Wingdings"/>
      </w:rPr>
    </w:lvl>
  </w:abstractNum>
  <w:abstractNum w:abstractNumId="9" w15:restartNumberingAfterBreak="0">
    <w:nsid w:val="09EA18C5"/>
    <w:multiLevelType w:val="multilevel"/>
    <w:tmpl w:val="ECF2C03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AC96BB6"/>
    <w:multiLevelType w:val="hybridMultilevel"/>
    <w:tmpl w:val="E7842E98"/>
    <w:lvl w:ilvl="0" w:tplc="240A001B">
      <w:start w:val="1"/>
      <w:numFmt w:val="lowerRoman"/>
      <w:lvlText w:val="%1."/>
      <w:lvlJc w:val="righ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1" w15:restartNumberingAfterBreak="0">
    <w:nsid w:val="0B9B5F52"/>
    <w:multiLevelType w:val="multilevel"/>
    <w:tmpl w:val="139CA94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2" w15:restartNumberingAfterBreak="0">
    <w:nsid w:val="0CF8298C"/>
    <w:multiLevelType w:val="multilevel"/>
    <w:tmpl w:val="2F3800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D6B6AF5"/>
    <w:multiLevelType w:val="multilevel"/>
    <w:tmpl w:val="050CF1D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4" w15:restartNumberingAfterBreak="0">
    <w:nsid w:val="0F1373D3"/>
    <w:multiLevelType w:val="multilevel"/>
    <w:tmpl w:val="8AE4D88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03B5D87"/>
    <w:multiLevelType w:val="hybridMultilevel"/>
    <w:tmpl w:val="7E8E71A8"/>
    <w:lvl w:ilvl="0" w:tplc="AC281B06">
      <w:start w:val="1"/>
      <w:numFmt w:val="bullet"/>
      <w:lvlText w:val=""/>
      <w:lvlJc w:val="left"/>
      <w:pPr>
        <w:tabs>
          <w:tab w:val="num" w:pos="720"/>
        </w:tabs>
        <w:ind w:left="720" w:hanging="360"/>
      </w:pPr>
      <w:rPr>
        <w:rFonts w:hint="default" w:ascii="Symbol" w:hAnsi="Symbol"/>
        <w:sz w:val="20"/>
      </w:rPr>
    </w:lvl>
    <w:lvl w:ilvl="1" w:tplc="22FA17D8" w:tentative="1">
      <w:start w:val="1"/>
      <w:numFmt w:val="bullet"/>
      <w:lvlText w:val="o"/>
      <w:lvlJc w:val="left"/>
      <w:pPr>
        <w:tabs>
          <w:tab w:val="num" w:pos="1440"/>
        </w:tabs>
        <w:ind w:left="1440" w:hanging="360"/>
      </w:pPr>
      <w:rPr>
        <w:rFonts w:hint="default" w:ascii="Courier New" w:hAnsi="Courier New"/>
        <w:sz w:val="20"/>
      </w:rPr>
    </w:lvl>
    <w:lvl w:ilvl="2" w:tplc="2812C3F2" w:tentative="1">
      <w:start w:val="1"/>
      <w:numFmt w:val="bullet"/>
      <w:lvlText w:val=""/>
      <w:lvlJc w:val="left"/>
      <w:pPr>
        <w:tabs>
          <w:tab w:val="num" w:pos="2160"/>
        </w:tabs>
        <w:ind w:left="2160" w:hanging="360"/>
      </w:pPr>
      <w:rPr>
        <w:rFonts w:hint="default" w:ascii="Wingdings" w:hAnsi="Wingdings"/>
        <w:sz w:val="20"/>
      </w:rPr>
    </w:lvl>
    <w:lvl w:ilvl="3" w:tplc="AE4647A6" w:tentative="1">
      <w:start w:val="1"/>
      <w:numFmt w:val="bullet"/>
      <w:lvlText w:val=""/>
      <w:lvlJc w:val="left"/>
      <w:pPr>
        <w:tabs>
          <w:tab w:val="num" w:pos="2880"/>
        </w:tabs>
        <w:ind w:left="2880" w:hanging="360"/>
      </w:pPr>
      <w:rPr>
        <w:rFonts w:hint="default" w:ascii="Wingdings" w:hAnsi="Wingdings"/>
        <w:sz w:val="20"/>
      </w:rPr>
    </w:lvl>
    <w:lvl w:ilvl="4" w:tplc="27902C94" w:tentative="1">
      <w:start w:val="1"/>
      <w:numFmt w:val="bullet"/>
      <w:lvlText w:val=""/>
      <w:lvlJc w:val="left"/>
      <w:pPr>
        <w:tabs>
          <w:tab w:val="num" w:pos="3600"/>
        </w:tabs>
        <w:ind w:left="3600" w:hanging="360"/>
      </w:pPr>
      <w:rPr>
        <w:rFonts w:hint="default" w:ascii="Wingdings" w:hAnsi="Wingdings"/>
        <w:sz w:val="20"/>
      </w:rPr>
    </w:lvl>
    <w:lvl w:ilvl="5" w:tplc="77906B34" w:tentative="1">
      <w:start w:val="1"/>
      <w:numFmt w:val="bullet"/>
      <w:lvlText w:val=""/>
      <w:lvlJc w:val="left"/>
      <w:pPr>
        <w:tabs>
          <w:tab w:val="num" w:pos="4320"/>
        </w:tabs>
        <w:ind w:left="4320" w:hanging="360"/>
      </w:pPr>
      <w:rPr>
        <w:rFonts w:hint="default" w:ascii="Wingdings" w:hAnsi="Wingdings"/>
        <w:sz w:val="20"/>
      </w:rPr>
    </w:lvl>
    <w:lvl w:ilvl="6" w:tplc="06AC7746" w:tentative="1">
      <w:start w:val="1"/>
      <w:numFmt w:val="bullet"/>
      <w:lvlText w:val=""/>
      <w:lvlJc w:val="left"/>
      <w:pPr>
        <w:tabs>
          <w:tab w:val="num" w:pos="5040"/>
        </w:tabs>
        <w:ind w:left="5040" w:hanging="360"/>
      </w:pPr>
      <w:rPr>
        <w:rFonts w:hint="default" w:ascii="Wingdings" w:hAnsi="Wingdings"/>
        <w:sz w:val="20"/>
      </w:rPr>
    </w:lvl>
    <w:lvl w:ilvl="7" w:tplc="56DA640A" w:tentative="1">
      <w:start w:val="1"/>
      <w:numFmt w:val="bullet"/>
      <w:lvlText w:val=""/>
      <w:lvlJc w:val="left"/>
      <w:pPr>
        <w:tabs>
          <w:tab w:val="num" w:pos="5760"/>
        </w:tabs>
        <w:ind w:left="5760" w:hanging="360"/>
      </w:pPr>
      <w:rPr>
        <w:rFonts w:hint="default" w:ascii="Wingdings" w:hAnsi="Wingdings"/>
        <w:sz w:val="20"/>
      </w:rPr>
    </w:lvl>
    <w:lvl w:ilvl="8" w:tplc="2E40AA5E" w:tentative="1">
      <w:start w:val="1"/>
      <w:numFmt w:val="bullet"/>
      <w:lvlText w:val=""/>
      <w:lvlJc w:val="left"/>
      <w:pPr>
        <w:tabs>
          <w:tab w:val="num" w:pos="6480"/>
        </w:tabs>
        <w:ind w:left="6480" w:hanging="360"/>
      </w:pPr>
      <w:rPr>
        <w:rFonts w:hint="default" w:ascii="Wingdings" w:hAnsi="Wingdings"/>
        <w:sz w:val="20"/>
      </w:rPr>
    </w:lvl>
  </w:abstractNum>
  <w:abstractNum w:abstractNumId="16" w15:restartNumberingAfterBreak="0">
    <w:nsid w:val="10A42310"/>
    <w:multiLevelType w:val="multilevel"/>
    <w:tmpl w:val="A28A39D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36A0A3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3ED170D"/>
    <w:multiLevelType w:val="multilevel"/>
    <w:tmpl w:val="1BB8AFE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82E4589"/>
    <w:multiLevelType w:val="multilevel"/>
    <w:tmpl w:val="9DCC0D7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0" w15:restartNumberingAfterBreak="0">
    <w:nsid w:val="19B26F8D"/>
    <w:multiLevelType w:val="multilevel"/>
    <w:tmpl w:val="8F342A02"/>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B03769E"/>
    <w:multiLevelType w:val="multilevel"/>
    <w:tmpl w:val="256E40C6"/>
    <w:lvl w:ilvl="0">
      <w:start w:val="1"/>
      <w:numFmt w:val="decimal"/>
      <w:lvlText w:val="%1."/>
      <w:lvlJc w:val="left"/>
      <w:pPr>
        <w:ind w:left="720" w:hanging="360"/>
      </w:pPr>
      <w:rPr>
        <w:b/>
        <w:bCs/>
      </w:rPr>
    </w:lvl>
    <w:lvl w:ilvl="1">
      <w:start w:val="1"/>
      <w:numFmt w:val="decimal"/>
      <w:isLgl/>
      <w:lvlText w:val="%1.%2."/>
      <w:lvlJc w:val="left"/>
      <w:pPr>
        <w:ind w:left="1080" w:hanging="720"/>
      </w:pPr>
      <w:rPr>
        <w:rFonts w:hint="default"/>
        <w:b/>
        <w:bCs/>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800" w:hanging="144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2160" w:hanging="180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22" w15:restartNumberingAfterBreak="0">
    <w:nsid w:val="1C1744F3"/>
    <w:multiLevelType w:val="multilevel"/>
    <w:tmpl w:val="B448B65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EAA2793"/>
    <w:multiLevelType w:val="multilevel"/>
    <w:tmpl w:val="C128AF4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4" w15:restartNumberingAfterBreak="0">
    <w:nsid w:val="1F7B7373"/>
    <w:multiLevelType w:val="hybridMultilevel"/>
    <w:tmpl w:val="F288DD32"/>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20202AE7"/>
    <w:multiLevelType w:val="multilevel"/>
    <w:tmpl w:val="35208A8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15:restartNumberingAfterBreak="0">
    <w:nsid w:val="20C8544B"/>
    <w:multiLevelType w:val="hybridMultilevel"/>
    <w:tmpl w:val="1304CF8C"/>
    <w:lvl w:ilvl="0" w:tplc="9EEC6EA4">
      <w:numFmt w:val="bullet"/>
      <w:lvlText w:val="•"/>
      <w:lvlJc w:val="left"/>
      <w:pPr>
        <w:ind w:left="1080" w:hanging="360"/>
      </w:pPr>
      <w:rPr>
        <w:rFonts w:hint="default" w:ascii="Arial" w:hAnsi="Arial" w:cs="Arial" w:eastAsiaTheme="minorHAnsi"/>
      </w:rPr>
    </w:lvl>
    <w:lvl w:ilvl="1" w:tplc="240A0003" w:tentative="1">
      <w:start w:val="1"/>
      <w:numFmt w:val="bullet"/>
      <w:lvlText w:val="o"/>
      <w:lvlJc w:val="left"/>
      <w:pPr>
        <w:ind w:left="1800" w:hanging="360"/>
      </w:pPr>
      <w:rPr>
        <w:rFonts w:hint="default" w:ascii="Courier New" w:hAnsi="Courier New" w:cs="Courier New"/>
      </w:rPr>
    </w:lvl>
    <w:lvl w:ilvl="2" w:tplc="240A0005" w:tentative="1">
      <w:start w:val="1"/>
      <w:numFmt w:val="bullet"/>
      <w:lvlText w:val=""/>
      <w:lvlJc w:val="left"/>
      <w:pPr>
        <w:ind w:left="2520" w:hanging="360"/>
      </w:pPr>
      <w:rPr>
        <w:rFonts w:hint="default" w:ascii="Wingdings" w:hAnsi="Wingdings"/>
      </w:rPr>
    </w:lvl>
    <w:lvl w:ilvl="3" w:tplc="240A0001" w:tentative="1">
      <w:start w:val="1"/>
      <w:numFmt w:val="bullet"/>
      <w:lvlText w:val=""/>
      <w:lvlJc w:val="left"/>
      <w:pPr>
        <w:ind w:left="3240" w:hanging="360"/>
      </w:pPr>
      <w:rPr>
        <w:rFonts w:hint="default" w:ascii="Symbol" w:hAnsi="Symbol"/>
      </w:rPr>
    </w:lvl>
    <w:lvl w:ilvl="4" w:tplc="240A0003" w:tentative="1">
      <w:start w:val="1"/>
      <w:numFmt w:val="bullet"/>
      <w:lvlText w:val="o"/>
      <w:lvlJc w:val="left"/>
      <w:pPr>
        <w:ind w:left="3960" w:hanging="360"/>
      </w:pPr>
      <w:rPr>
        <w:rFonts w:hint="default" w:ascii="Courier New" w:hAnsi="Courier New" w:cs="Courier New"/>
      </w:rPr>
    </w:lvl>
    <w:lvl w:ilvl="5" w:tplc="240A0005" w:tentative="1">
      <w:start w:val="1"/>
      <w:numFmt w:val="bullet"/>
      <w:lvlText w:val=""/>
      <w:lvlJc w:val="left"/>
      <w:pPr>
        <w:ind w:left="4680" w:hanging="360"/>
      </w:pPr>
      <w:rPr>
        <w:rFonts w:hint="default" w:ascii="Wingdings" w:hAnsi="Wingdings"/>
      </w:rPr>
    </w:lvl>
    <w:lvl w:ilvl="6" w:tplc="240A0001" w:tentative="1">
      <w:start w:val="1"/>
      <w:numFmt w:val="bullet"/>
      <w:lvlText w:val=""/>
      <w:lvlJc w:val="left"/>
      <w:pPr>
        <w:ind w:left="5400" w:hanging="360"/>
      </w:pPr>
      <w:rPr>
        <w:rFonts w:hint="default" w:ascii="Symbol" w:hAnsi="Symbol"/>
      </w:rPr>
    </w:lvl>
    <w:lvl w:ilvl="7" w:tplc="240A0003" w:tentative="1">
      <w:start w:val="1"/>
      <w:numFmt w:val="bullet"/>
      <w:lvlText w:val="o"/>
      <w:lvlJc w:val="left"/>
      <w:pPr>
        <w:ind w:left="6120" w:hanging="360"/>
      </w:pPr>
      <w:rPr>
        <w:rFonts w:hint="default" w:ascii="Courier New" w:hAnsi="Courier New" w:cs="Courier New"/>
      </w:rPr>
    </w:lvl>
    <w:lvl w:ilvl="8" w:tplc="240A0005" w:tentative="1">
      <w:start w:val="1"/>
      <w:numFmt w:val="bullet"/>
      <w:lvlText w:val=""/>
      <w:lvlJc w:val="left"/>
      <w:pPr>
        <w:ind w:left="6840" w:hanging="360"/>
      </w:pPr>
      <w:rPr>
        <w:rFonts w:hint="default" w:ascii="Wingdings" w:hAnsi="Wingdings"/>
      </w:rPr>
    </w:lvl>
  </w:abstractNum>
  <w:abstractNum w:abstractNumId="27" w15:restartNumberingAfterBreak="0">
    <w:nsid w:val="217B1B6C"/>
    <w:multiLevelType w:val="multilevel"/>
    <w:tmpl w:val="5E22CBA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8" w15:restartNumberingAfterBreak="0">
    <w:nsid w:val="2316497D"/>
    <w:multiLevelType w:val="multilevel"/>
    <w:tmpl w:val="FAC4DF7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4190156"/>
    <w:multiLevelType w:val="multilevel"/>
    <w:tmpl w:val="C858920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4785510"/>
    <w:multiLevelType w:val="multilevel"/>
    <w:tmpl w:val="FA4CD92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1" w15:restartNumberingAfterBreak="0">
    <w:nsid w:val="24BD259A"/>
    <w:multiLevelType w:val="multilevel"/>
    <w:tmpl w:val="7676F85E"/>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28EE6AA6"/>
    <w:multiLevelType w:val="multilevel"/>
    <w:tmpl w:val="6CC88F0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3" w15:restartNumberingAfterBreak="0">
    <w:nsid w:val="2D0C627D"/>
    <w:multiLevelType w:val="multilevel"/>
    <w:tmpl w:val="353A4F2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2D1FE711"/>
    <w:multiLevelType w:val="hybridMultilevel"/>
    <w:tmpl w:val="2570C3E8"/>
    <w:lvl w:ilvl="0" w:tplc="2F38E3F0">
      <w:start w:val="1"/>
      <w:numFmt w:val="decimal"/>
      <w:lvlText w:val="%1."/>
      <w:lvlJc w:val="left"/>
      <w:pPr>
        <w:ind w:left="720" w:hanging="360"/>
      </w:pPr>
    </w:lvl>
    <w:lvl w:ilvl="1" w:tplc="F74E222A">
      <w:start w:val="1"/>
      <w:numFmt w:val="lowerLetter"/>
      <w:lvlText w:val="%2."/>
      <w:lvlJc w:val="left"/>
      <w:pPr>
        <w:ind w:left="1440" w:hanging="360"/>
      </w:pPr>
    </w:lvl>
    <w:lvl w:ilvl="2" w:tplc="0E704D80">
      <w:start w:val="1"/>
      <w:numFmt w:val="lowerRoman"/>
      <w:lvlText w:val="%3."/>
      <w:lvlJc w:val="right"/>
      <w:pPr>
        <w:ind w:left="2160" w:hanging="180"/>
      </w:pPr>
    </w:lvl>
    <w:lvl w:ilvl="3" w:tplc="996AF20E">
      <w:start w:val="1"/>
      <w:numFmt w:val="decimal"/>
      <w:lvlText w:val="%4."/>
      <w:lvlJc w:val="left"/>
      <w:pPr>
        <w:ind w:left="2880" w:hanging="360"/>
      </w:pPr>
    </w:lvl>
    <w:lvl w:ilvl="4" w:tplc="B428D434">
      <w:start w:val="1"/>
      <w:numFmt w:val="lowerLetter"/>
      <w:lvlText w:val="%5."/>
      <w:lvlJc w:val="left"/>
      <w:pPr>
        <w:ind w:left="3600" w:hanging="360"/>
      </w:pPr>
    </w:lvl>
    <w:lvl w:ilvl="5" w:tplc="8040A3B6">
      <w:start w:val="1"/>
      <w:numFmt w:val="lowerRoman"/>
      <w:lvlText w:val="%6."/>
      <w:lvlJc w:val="right"/>
      <w:pPr>
        <w:ind w:left="4320" w:hanging="180"/>
      </w:pPr>
    </w:lvl>
    <w:lvl w:ilvl="6" w:tplc="146AAB2C">
      <w:start w:val="1"/>
      <w:numFmt w:val="decimal"/>
      <w:lvlText w:val="%7."/>
      <w:lvlJc w:val="left"/>
      <w:pPr>
        <w:ind w:left="5040" w:hanging="360"/>
      </w:pPr>
    </w:lvl>
    <w:lvl w:ilvl="7" w:tplc="4274BF02">
      <w:start w:val="1"/>
      <w:numFmt w:val="lowerLetter"/>
      <w:lvlText w:val="%8."/>
      <w:lvlJc w:val="left"/>
      <w:pPr>
        <w:ind w:left="5760" w:hanging="360"/>
      </w:pPr>
    </w:lvl>
    <w:lvl w:ilvl="8" w:tplc="21AAD818">
      <w:start w:val="1"/>
      <w:numFmt w:val="lowerRoman"/>
      <w:lvlText w:val="%9."/>
      <w:lvlJc w:val="right"/>
      <w:pPr>
        <w:ind w:left="6480" w:hanging="180"/>
      </w:pPr>
    </w:lvl>
  </w:abstractNum>
  <w:abstractNum w:abstractNumId="35" w15:restartNumberingAfterBreak="0">
    <w:nsid w:val="306A1984"/>
    <w:multiLevelType w:val="multilevel"/>
    <w:tmpl w:val="0FEAE1FA"/>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6" w15:restartNumberingAfterBreak="0">
    <w:nsid w:val="31C33BC2"/>
    <w:multiLevelType w:val="multilevel"/>
    <w:tmpl w:val="88BC1AE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7" w15:restartNumberingAfterBreak="0">
    <w:nsid w:val="33784C06"/>
    <w:multiLevelType w:val="hybridMultilevel"/>
    <w:tmpl w:val="8E2CC414"/>
    <w:lvl w:ilvl="0" w:tplc="240A0001">
      <w:start w:val="1"/>
      <w:numFmt w:val="bullet"/>
      <w:lvlText w:val=""/>
      <w:lvlJc w:val="left"/>
      <w:pPr>
        <w:ind w:left="1080" w:hanging="360"/>
      </w:pPr>
      <w:rPr>
        <w:rFonts w:hint="default" w:ascii="Symbol" w:hAnsi="Symbol"/>
      </w:rPr>
    </w:lvl>
    <w:lvl w:ilvl="1" w:tplc="240A0003" w:tentative="1">
      <w:start w:val="1"/>
      <w:numFmt w:val="bullet"/>
      <w:lvlText w:val="o"/>
      <w:lvlJc w:val="left"/>
      <w:pPr>
        <w:ind w:left="1800" w:hanging="360"/>
      </w:pPr>
      <w:rPr>
        <w:rFonts w:hint="default" w:ascii="Courier New" w:hAnsi="Courier New" w:cs="Courier New"/>
      </w:rPr>
    </w:lvl>
    <w:lvl w:ilvl="2" w:tplc="240A0005" w:tentative="1">
      <w:start w:val="1"/>
      <w:numFmt w:val="bullet"/>
      <w:lvlText w:val=""/>
      <w:lvlJc w:val="left"/>
      <w:pPr>
        <w:ind w:left="2520" w:hanging="360"/>
      </w:pPr>
      <w:rPr>
        <w:rFonts w:hint="default" w:ascii="Wingdings" w:hAnsi="Wingdings"/>
      </w:rPr>
    </w:lvl>
    <w:lvl w:ilvl="3" w:tplc="240A0001" w:tentative="1">
      <w:start w:val="1"/>
      <w:numFmt w:val="bullet"/>
      <w:lvlText w:val=""/>
      <w:lvlJc w:val="left"/>
      <w:pPr>
        <w:ind w:left="3240" w:hanging="360"/>
      </w:pPr>
      <w:rPr>
        <w:rFonts w:hint="default" w:ascii="Symbol" w:hAnsi="Symbol"/>
      </w:rPr>
    </w:lvl>
    <w:lvl w:ilvl="4" w:tplc="240A0003" w:tentative="1">
      <w:start w:val="1"/>
      <w:numFmt w:val="bullet"/>
      <w:lvlText w:val="o"/>
      <w:lvlJc w:val="left"/>
      <w:pPr>
        <w:ind w:left="3960" w:hanging="360"/>
      </w:pPr>
      <w:rPr>
        <w:rFonts w:hint="default" w:ascii="Courier New" w:hAnsi="Courier New" w:cs="Courier New"/>
      </w:rPr>
    </w:lvl>
    <w:lvl w:ilvl="5" w:tplc="240A0005" w:tentative="1">
      <w:start w:val="1"/>
      <w:numFmt w:val="bullet"/>
      <w:lvlText w:val=""/>
      <w:lvlJc w:val="left"/>
      <w:pPr>
        <w:ind w:left="4680" w:hanging="360"/>
      </w:pPr>
      <w:rPr>
        <w:rFonts w:hint="default" w:ascii="Wingdings" w:hAnsi="Wingdings"/>
      </w:rPr>
    </w:lvl>
    <w:lvl w:ilvl="6" w:tplc="240A0001" w:tentative="1">
      <w:start w:val="1"/>
      <w:numFmt w:val="bullet"/>
      <w:lvlText w:val=""/>
      <w:lvlJc w:val="left"/>
      <w:pPr>
        <w:ind w:left="5400" w:hanging="360"/>
      </w:pPr>
      <w:rPr>
        <w:rFonts w:hint="default" w:ascii="Symbol" w:hAnsi="Symbol"/>
      </w:rPr>
    </w:lvl>
    <w:lvl w:ilvl="7" w:tplc="240A0003" w:tentative="1">
      <w:start w:val="1"/>
      <w:numFmt w:val="bullet"/>
      <w:lvlText w:val="o"/>
      <w:lvlJc w:val="left"/>
      <w:pPr>
        <w:ind w:left="6120" w:hanging="360"/>
      </w:pPr>
      <w:rPr>
        <w:rFonts w:hint="default" w:ascii="Courier New" w:hAnsi="Courier New" w:cs="Courier New"/>
      </w:rPr>
    </w:lvl>
    <w:lvl w:ilvl="8" w:tplc="240A0005" w:tentative="1">
      <w:start w:val="1"/>
      <w:numFmt w:val="bullet"/>
      <w:lvlText w:val=""/>
      <w:lvlJc w:val="left"/>
      <w:pPr>
        <w:ind w:left="6840" w:hanging="360"/>
      </w:pPr>
      <w:rPr>
        <w:rFonts w:hint="default" w:ascii="Wingdings" w:hAnsi="Wingdings"/>
      </w:rPr>
    </w:lvl>
  </w:abstractNum>
  <w:abstractNum w:abstractNumId="38" w15:restartNumberingAfterBreak="0">
    <w:nsid w:val="34283240"/>
    <w:multiLevelType w:val="multilevel"/>
    <w:tmpl w:val="14B8425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34D92EF7"/>
    <w:multiLevelType w:val="multilevel"/>
    <w:tmpl w:val="F79A59D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0" w15:restartNumberingAfterBreak="0">
    <w:nsid w:val="37FA4218"/>
    <w:multiLevelType w:val="multilevel"/>
    <w:tmpl w:val="A5D6AC52"/>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385D1946"/>
    <w:multiLevelType w:val="multilevel"/>
    <w:tmpl w:val="B21C89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39664DEF"/>
    <w:multiLevelType w:val="multilevel"/>
    <w:tmpl w:val="02BC2D4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B242452"/>
    <w:multiLevelType w:val="hybridMultilevel"/>
    <w:tmpl w:val="1058730A"/>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44" w15:restartNumberingAfterBreak="0">
    <w:nsid w:val="3C02503C"/>
    <w:multiLevelType w:val="multilevel"/>
    <w:tmpl w:val="87F2DC9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3D4C5A2B"/>
    <w:multiLevelType w:val="multilevel"/>
    <w:tmpl w:val="A0520B0C"/>
    <w:lvl w:ilvl="0">
      <w:start w:val="6"/>
      <w:numFmt w:val="lowerLetter"/>
      <w:lvlText w:val="%1."/>
      <w:lvlJc w:val="left"/>
      <w:pPr>
        <w:tabs>
          <w:tab w:val="num" w:pos="720"/>
        </w:tabs>
        <w:ind w:left="720" w:hanging="360"/>
      </w:pPr>
    </w:lvl>
    <w:lvl w:ilvl="1">
      <w:numFmt w:val="bullet"/>
      <w:lvlText w:val="-"/>
      <w:lvlJc w:val="left"/>
      <w:pPr>
        <w:ind w:left="1440" w:hanging="360"/>
      </w:pPr>
      <w:rPr>
        <w:rFonts w:hint="default" w:ascii="Verdana" w:hAnsi="Verdana" w:eastAsiaTheme="minorHAnsi" w:cstheme="minorHAnsi"/>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6" w15:restartNumberingAfterBreak="0">
    <w:nsid w:val="3EB86031"/>
    <w:multiLevelType w:val="hybridMultilevel"/>
    <w:tmpl w:val="1056280E"/>
    <w:lvl w:ilvl="0" w:tplc="9EEC6EA4">
      <w:numFmt w:val="bullet"/>
      <w:lvlText w:val="•"/>
      <w:lvlJc w:val="left"/>
      <w:pPr>
        <w:ind w:left="720" w:hanging="360"/>
      </w:pPr>
      <w:rPr>
        <w:rFonts w:hint="default" w:ascii="Arial" w:hAnsi="Arial" w:cs="Arial" w:eastAsiaTheme="minorHAnsi"/>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47" w15:restartNumberingAfterBreak="0">
    <w:nsid w:val="401119A5"/>
    <w:multiLevelType w:val="multilevel"/>
    <w:tmpl w:val="2D78C8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41A87ADD"/>
    <w:multiLevelType w:val="hybridMultilevel"/>
    <w:tmpl w:val="83FCFA6C"/>
    <w:lvl w:ilvl="0" w:tplc="240A000D">
      <w:start w:val="1"/>
      <w:numFmt w:val="bullet"/>
      <w:lvlText w:val=""/>
      <w:lvlJc w:val="left"/>
      <w:pPr>
        <w:ind w:left="1080" w:hanging="360"/>
      </w:pPr>
      <w:rPr>
        <w:rFonts w:hint="default" w:ascii="Wingdings" w:hAnsi="Wingdings"/>
      </w:rPr>
    </w:lvl>
    <w:lvl w:ilvl="1" w:tplc="240A0003" w:tentative="1">
      <w:start w:val="1"/>
      <w:numFmt w:val="bullet"/>
      <w:lvlText w:val="o"/>
      <w:lvlJc w:val="left"/>
      <w:pPr>
        <w:ind w:left="1800" w:hanging="360"/>
      </w:pPr>
      <w:rPr>
        <w:rFonts w:hint="default" w:ascii="Courier New" w:hAnsi="Courier New" w:cs="Courier New"/>
      </w:rPr>
    </w:lvl>
    <w:lvl w:ilvl="2" w:tplc="240A0005" w:tentative="1">
      <w:start w:val="1"/>
      <w:numFmt w:val="bullet"/>
      <w:lvlText w:val=""/>
      <w:lvlJc w:val="left"/>
      <w:pPr>
        <w:ind w:left="2520" w:hanging="360"/>
      </w:pPr>
      <w:rPr>
        <w:rFonts w:hint="default" w:ascii="Wingdings" w:hAnsi="Wingdings"/>
      </w:rPr>
    </w:lvl>
    <w:lvl w:ilvl="3" w:tplc="240A0001" w:tentative="1">
      <w:start w:val="1"/>
      <w:numFmt w:val="bullet"/>
      <w:lvlText w:val=""/>
      <w:lvlJc w:val="left"/>
      <w:pPr>
        <w:ind w:left="3240" w:hanging="360"/>
      </w:pPr>
      <w:rPr>
        <w:rFonts w:hint="default" w:ascii="Symbol" w:hAnsi="Symbol"/>
      </w:rPr>
    </w:lvl>
    <w:lvl w:ilvl="4" w:tplc="240A0003" w:tentative="1">
      <w:start w:val="1"/>
      <w:numFmt w:val="bullet"/>
      <w:lvlText w:val="o"/>
      <w:lvlJc w:val="left"/>
      <w:pPr>
        <w:ind w:left="3960" w:hanging="360"/>
      </w:pPr>
      <w:rPr>
        <w:rFonts w:hint="default" w:ascii="Courier New" w:hAnsi="Courier New" w:cs="Courier New"/>
      </w:rPr>
    </w:lvl>
    <w:lvl w:ilvl="5" w:tplc="240A0005" w:tentative="1">
      <w:start w:val="1"/>
      <w:numFmt w:val="bullet"/>
      <w:lvlText w:val=""/>
      <w:lvlJc w:val="left"/>
      <w:pPr>
        <w:ind w:left="4680" w:hanging="360"/>
      </w:pPr>
      <w:rPr>
        <w:rFonts w:hint="default" w:ascii="Wingdings" w:hAnsi="Wingdings"/>
      </w:rPr>
    </w:lvl>
    <w:lvl w:ilvl="6" w:tplc="240A0001" w:tentative="1">
      <w:start w:val="1"/>
      <w:numFmt w:val="bullet"/>
      <w:lvlText w:val=""/>
      <w:lvlJc w:val="left"/>
      <w:pPr>
        <w:ind w:left="5400" w:hanging="360"/>
      </w:pPr>
      <w:rPr>
        <w:rFonts w:hint="default" w:ascii="Symbol" w:hAnsi="Symbol"/>
      </w:rPr>
    </w:lvl>
    <w:lvl w:ilvl="7" w:tplc="240A0003" w:tentative="1">
      <w:start w:val="1"/>
      <w:numFmt w:val="bullet"/>
      <w:lvlText w:val="o"/>
      <w:lvlJc w:val="left"/>
      <w:pPr>
        <w:ind w:left="6120" w:hanging="360"/>
      </w:pPr>
      <w:rPr>
        <w:rFonts w:hint="default" w:ascii="Courier New" w:hAnsi="Courier New" w:cs="Courier New"/>
      </w:rPr>
    </w:lvl>
    <w:lvl w:ilvl="8" w:tplc="240A0005" w:tentative="1">
      <w:start w:val="1"/>
      <w:numFmt w:val="bullet"/>
      <w:lvlText w:val=""/>
      <w:lvlJc w:val="left"/>
      <w:pPr>
        <w:ind w:left="6840" w:hanging="360"/>
      </w:pPr>
      <w:rPr>
        <w:rFonts w:hint="default" w:ascii="Wingdings" w:hAnsi="Wingdings"/>
      </w:rPr>
    </w:lvl>
  </w:abstractNum>
  <w:abstractNum w:abstractNumId="49" w15:restartNumberingAfterBreak="0">
    <w:nsid w:val="420619EB"/>
    <w:multiLevelType w:val="multilevel"/>
    <w:tmpl w:val="DF78AC20"/>
    <w:lvl w:ilvl="0">
      <w:start w:val="1"/>
      <w:numFmt w:val="bullet"/>
      <w:lvlText w:val=""/>
      <w:lvlJc w:val="left"/>
      <w:pPr>
        <w:tabs>
          <w:tab w:val="num" w:pos="720"/>
        </w:tabs>
        <w:ind w:left="720" w:hanging="360"/>
      </w:pPr>
      <w:rPr>
        <w:rFonts w:hint="default" w:ascii="Symbol" w:hAnsi="Symbol"/>
        <w:sz w:val="20"/>
      </w:rPr>
    </w:lvl>
    <w:lvl w:ilvl="1">
      <w:numFmt w:val="bullet"/>
      <w:lvlText w:val="•"/>
      <w:lvlJc w:val="left"/>
      <w:pPr>
        <w:ind w:left="1785" w:hanging="705"/>
      </w:pPr>
      <w:rPr>
        <w:rFonts w:hint="default" w:ascii="Verdana" w:hAnsi="Verdana" w:eastAsiaTheme="minorHAnsi" w:cstheme="minorHAnsi"/>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0" w15:restartNumberingAfterBreak="0">
    <w:nsid w:val="44367E8F"/>
    <w:multiLevelType w:val="multilevel"/>
    <w:tmpl w:val="1ED41CC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1" w15:restartNumberingAfterBreak="0">
    <w:nsid w:val="455E7B24"/>
    <w:multiLevelType w:val="multilevel"/>
    <w:tmpl w:val="C8EED59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2" w15:restartNumberingAfterBreak="0">
    <w:nsid w:val="465D147D"/>
    <w:multiLevelType w:val="multilevel"/>
    <w:tmpl w:val="47B0870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478C7896"/>
    <w:multiLevelType w:val="multilevel"/>
    <w:tmpl w:val="CCFA2C2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47B952D1"/>
    <w:multiLevelType w:val="multilevel"/>
    <w:tmpl w:val="D5B632E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48356BBD"/>
    <w:multiLevelType w:val="multilevel"/>
    <w:tmpl w:val="E5AED44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6" w15:restartNumberingAfterBreak="0">
    <w:nsid w:val="4A660266"/>
    <w:multiLevelType w:val="multilevel"/>
    <w:tmpl w:val="7C58DFF4"/>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7" w15:restartNumberingAfterBreak="0">
    <w:nsid w:val="4AC36102"/>
    <w:multiLevelType w:val="multilevel"/>
    <w:tmpl w:val="6ADC07FA"/>
    <w:lvl w:ilvl="0">
      <w:start w:val="1"/>
      <w:numFmt w:val="bullet"/>
      <w:lvlText w:val=""/>
      <w:lvlJc w:val="left"/>
      <w:pPr>
        <w:tabs>
          <w:tab w:val="num" w:pos="720"/>
        </w:tabs>
        <w:ind w:left="720" w:hanging="360"/>
      </w:pPr>
      <w:rPr>
        <w:rFonts w:hint="default" w:ascii="Symbol" w:hAnsi="Symbol"/>
        <w:sz w:val="20"/>
      </w:rPr>
    </w:lvl>
    <w:lvl w:ilvl="1">
      <w:numFmt w:val="bullet"/>
      <w:lvlText w:val="-"/>
      <w:lvlJc w:val="left"/>
      <w:pPr>
        <w:ind w:left="1440" w:hanging="360"/>
      </w:pPr>
      <w:rPr>
        <w:rFonts w:hint="default" w:ascii="Verdana" w:hAnsi="Verdana" w:eastAsiaTheme="minorHAnsi" w:cstheme="minorHAnsi"/>
        <w:b/>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8" w15:restartNumberingAfterBreak="0">
    <w:nsid w:val="4B512234"/>
    <w:multiLevelType w:val="multilevel"/>
    <w:tmpl w:val="C84ECBDC"/>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9" w15:restartNumberingAfterBreak="0">
    <w:nsid w:val="52A713EF"/>
    <w:multiLevelType w:val="multilevel"/>
    <w:tmpl w:val="EFA645B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55B70CEB"/>
    <w:multiLevelType w:val="multilevel"/>
    <w:tmpl w:val="8A72D6BA"/>
    <w:lvl w:ilvl="0">
      <w:start w:val="1"/>
      <w:numFmt w:val="decimal"/>
      <w:lvlText w:val="%1."/>
      <w:lvlJc w:val="left"/>
      <w:pPr>
        <w:ind w:left="720" w:hanging="360"/>
      </w:pPr>
      <w:rPr>
        <w:rFonts w:hint="default" w:ascii="Verdana" w:hAnsi="Verdana"/>
      </w:rPr>
    </w:lvl>
    <w:lvl w:ilvl="1">
      <w:start w:val="1"/>
      <w:numFmt w:val="decimal"/>
      <w:isLgl/>
      <w:lvlText w:val="%1.%2."/>
      <w:lvlJc w:val="left"/>
      <w:pPr>
        <w:ind w:left="1260" w:hanging="720"/>
      </w:pPr>
      <w:rPr>
        <w:rFonts w:hint="default"/>
        <w:sz w:val="24"/>
        <w:szCs w:val="24"/>
      </w:rPr>
    </w:lvl>
    <w:lvl w:ilvl="2">
      <w:start w:val="2"/>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61" w15:restartNumberingAfterBreak="0">
    <w:nsid w:val="5639154F"/>
    <w:multiLevelType w:val="multilevel"/>
    <w:tmpl w:val="5168559E"/>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567E6A1D"/>
    <w:multiLevelType w:val="multilevel"/>
    <w:tmpl w:val="57E0B09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3" w15:restartNumberingAfterBreak="0">
    <w:nsid w:val="58E648F5"/>
    <w:multiLevelType w:val="hybridMultilevel"/>
    <w:tmpl w:val="64EC46CA"/>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64" w15:restartNumberingAfterBreak="0">
    <w:nsid w:val="597934C0"/>
    <w:multiLevelType w:val="multilevel"/>
    <w:tmpl w:val="C5BC5D7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5A234CA3"/>
    <w:multiLevelType w:val="multilevel"/>
    <w:tmpl w:val="81C85FD0"/>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5AAD588A"/>
    <w:multiLevelType w:val="multilevel"/>
    <w:tmpl w:val="CC6E49EA"/>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5BE04C28"/>
    <w:multiLevelType w:val="hybridMultilevel"/>
    <w:tmpl w:val="D6D0797C"/>
    <w:lvl w:ilvl="0" w:tplc="E6922056">
      <w:start w:val="1"/>
      <w:numFmt w:val="decimal"/>
      <w:lvlText w:val="%1."/>
      <w:lvlJc w:val="left"/>
      <w:pPr>
        <w:ind w:left="1800" w:hanging="360"/>
      </w:pPr>
    </w:lvl>
    <w:lvl w:ilvl="1" w:tplc="FE1C4580">
      <w:start w:val="1"/>
      <w:numFmt w:val="lowerLetter"/>
      <w:lvlText w:val="%2."/>
      <w:lvlJc w:val="left"/>
      <w:pPr>
        <w:ind w:left="2520" w:hanging="360"/>
      </w:pPr>
    </w:lvl>
    <w:lvl w:ilvl="2" w:tplc="C25266EA">
      <w:start w:val="1"/>
      <w:numFmt w:val="lowerRoman"/>
      <w:lvlText w:val="%3."/>
      <w:lvlJc w:val="right"/>
      <w:pPr>
        <w:ind w:left="3240" w:hanging="180"/>
      </w:pPr>
    </w:lvl>
    <w:lvl w:ilvl="3" w:tplc="BF744E2A">
      <w:start w:val="1"/>
      <w:numFmt w:val="decimal"/>
      <w:lvlText w:val="%4."/>
      <w:lvlJc w:val="left"/>
      <w:pPr>
        <w:ind w:left="3960" w:hanging="360"/>
      </w:pPr>
    </w:lvl>
    <w:lvl w:ilvl="4" w:tplc="10D63CB6">
      <w:start w:val="1"/>
      <w:numFmt w:val="lowerLetter"/>
      <w:lvlText w:val="%5."/>
      <w:lvlJc w:val="left"/>
      <w:pPr>
        <w:ind w:left="4680" w:hanging="360"/>
      </w:pPr>
    </w:lvl>
    <w:lvl w:ilvl="5" w:tplc="790084BE">
      <w:start w:val="1"/>
      <w:numFmt w:val="lowerRoman"/>
      <w:lvlText w:val="%6."/>
      <w:lvlJc w:val="right"/>
      <w:pPr>
        <w:ind w:left="5400" w:hanging="180"/>
      </w:pPr>
    </w:lvl>
    <w:lvl w:ilvl="6" w:tplc="019AE3D2">
      <w:start w:val="1"/>
      <w:numFmt w:val="decimal"/>
      <w:lvlText w:val="%7."/>
      <w:lvlJc w:val="left"/>
      <w:pPr>
        <w:ind w:left="6120" w:hanging="360"/>
      </w:pPr>
    </w:lvl>
    <w:lvl w:ilvl="7" w:tplc="87EA9F20">
      <w:start w:val="1"/>
      <w:numFmt w:val="lowerLetter"/>
      <w:lvlText w:val="%8."/>
      <w:lvlJc w:val="left"/>
      <w:pPr>
        <w:ind w:left="6840" w:hanging="360"/>
      </w:pPr>
    </w:lvl>
    <w:lvl w:ilvl="8" w:tplc="F67ECCAC">
      <w:start w:val="1"/>
      <w:numFmt w:val="lowerRoman"/>
      <w:lvlText w:val="%9."/>
      <w:lvlJc w:val="right"/>
      <w:pPr>
        <w:ind w:left="7560" w:hanging="180"/>
      </w:pPr>
    </w:lvl>
  </w:abstractNum>
  <w:abstractNum w:abstractNumId="68" w15:restartNumberingAfterBreak="0">
    <w:nsid w:val="5BF22B51"/>
    <w:multiLevelType w:val="multilevel"/>
    <w:tmpl w:val="1FA2158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9" w15:restartNumberingAfterBreak="0">
    <w:nsid w:val="5CE40555"/>
    <w:multiLevelType w:val="hybridMultilevel"/>
    <w:tmpl w:val="0D48F046"/>
    <w:lvl w:ilvl="0" w:tplc="398AB3A0">
      <w:start w:val="1"/>
      <w:numFmt w:val="decimal"/>
      <w:lvlText w:val="%1."/>
      <w:lvlJc w:val="left"/>
      <w:pPr>
        <w:ind w:left="720" w:hanging="360"/>
      </w:pPr>
    </w:lvl>
    <w:lvl w:ilvl="1" w:tplc="739A3E80">
      <w:start w:val="1"/>
      <w:numFmt w:val="lowerLetter"/>
      <w:lvlText w:val="%2."/>
      <w:lvlJc w:val="left"/>
      <w:pPr>
        <w:ind w:left="1440" w:hanging="360"/>
      </w:pPr>
    </w:lvl>
    <w:lvl w:ilvl="2" w:tplc="0EEE1974">
      <w:start w:val="1"/>
      <w:numFmt w:val="lowerRoman"/>
      <w:lvlText w:val="%3."/>
      <w:lvlJc w:val="right"/>
      <w:pPr>
        <w:ind w:left="2160" w:hanging="180"/>
      </w:pPr>
    </w:lvl>
    <w:lvl w:ilvl="3" w:tplc="FFAE6FBE">
      <w:start w:val="1"/>
      <w:numFmt w:val="decimal"/>
      <w:lvlText w:val="%4."/>
      <w:lvlJc w:val="left"/>
      <w:pPr>
        <w:ind w:left="2880" w:hanging="360"/>
      </w:pPr>
    </w:lvl>
    <w:lvl w:ilvl="4" w:tplc="41B2BA5C">
      <w:start w:val="1"/>
      <w:numFmt w:val="lowerLetter"/>
      <w:lvlText w:val="%5."/>
      <w:lvlJc w:val="left"/>
      <w:pPr>
        <w:ind w:left="3600" w:hanging="360"/>
      </w:pPr>
    </w:lvl>
    <w:lvl w:ilvl="5" w:tplc="FAAE8748">
      <w:start w:val="1"/>
      <w:numFmt w:val="lowerRoman"/>
      <w:lvlText w:val="%6."/>
      <w:lvlJc w:val="right"/>
      <w:pPr>
        <w:ind w:left="4320" w:hanging="180"/>
      </w:pPr>
    </w:lvl>
    <w:lvl w:ilvl="6" w:tplc="3476E06A">
      <w:start w:val="1"/>
      <w:numFmt w:val="decimal"/>
      <w:lvlText w:val="%7."/>
      <w:lvlJc w:val="left"/>
      <w:pPr>
        <w:ind w:left="5040" w:hanging="360"/>
      </w:pPr>
    </w:lvl>
    <w:lvl w:ilvl="7" w:tplc="D39815CA">
      <w:start w:val="1"/>
      <w:numFmt w:val="lowerLetter"/>
      <w:lvlText w:val="%8."/>
      <w:lvlJc w:val="left"/>
      <w:pPr>
        <w:ind w:left="5760" w:hanging="360"/>
      </w:pPr>
    </w:lvl>
    <w:lvl w:ilvl="8" w:tplc="5F2804E4">
      <w:start w:val="1"/>
      <w:numFmt w:val="lowerRoman"/>
      <w:lvlText w:val="%9."/>
      <w:lvlJc w:val="right"/>
      <w:pPr>
        <w:ind w:left="6480" w:hanging="180"/>
      </w:pPr>
    </w:lvl>
  </w:abstractNum>
  <w:abstractNum w:abstractNumId="70" w15:restartNumberingAfterBreak="0">
    <w:nsid w:val="61512312"/>
    <w:multiLevelType w:val="hybridMultilevel"/>
    <w:tmpl w:val="F288DD3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61596243"/>
    <w:multiLevelType w:val="multilevel"/>
    <w:tmpl w:val="BAB8C04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2" w15:restartNumberingAfterBreak="0">
    <w:nsid w:val="61780061"/>
    <w:multiLevelType w:val="multilevel"/>
    <w:tmpl w:val="4C1C38D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629D5D76"/>
    <w:multiLevelType w:val="multilevel"/>
    <w:tmpl w:val="A1CC956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633B1903"/>
    <w:multiLevelType w:val="multilevel"/>
    <w:tmpl w:val="7EE4891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66A5B93D"/>
    <w:multiLevelType w:val="hybridMultilevel"/>
    <w:tmpl w:val="14C65892"/>
    <w:lvl w:ilvl="0" w:tplc="4A2C0244">
      <w:start w:val="3"/>
      <w:numFmt w:val="decimal"/>
      <w:lvlText w:val="%1."/>
      <w:lvlJc w:val="left"/>
      <w:pPr>
        <w:ind w:left="720" w:hanging="360"/>
      </w:pPr>
    </w:lvl>
    <w:lvl w:ilvl="1" w:tplc="223A8150">
      <w:start w:val="1"/>
      <w:numFmt w:val="lowerLetter"/>
      <w:lvlText w:val="%2."/>
      <w:lvlJc w:val="left"/>
      <w:pPr>
        <w:ind w:left="1440" w:hanging="360"/>
      </w:pPr>
    </w:lvl>
    <w:lvl w:ilvl="2" w:tplc="43161996">
      <w:start w:val="1"/>
      <w:numFmt w:val="lowerRoman"/>
      <w:lvlText w:val="%3."/>
      <w:lvlJc w:val="right"/>
      <w:pPr>
        <w:ind w:left="2160" w:hanging="180"/>
      </w:pPr>
    </w:lvl>
    <w:lvl w:ilvl="3" w:tplc="03E23E04">
      <w:start w:val="1"/>
      <w:numFmt w:val="decimal"/>
      <w:lvlText w:val="%4."/>
      <w:lvlJc w:val="left"/>
      <w:pPr>
        <w:ind w:left="2880" w:hanging="360"/>
      </w:pPr>
    </w:lvl>
    <w:lvl w:ilvl="4" w:tplc="A852F588">
      <w:start w:val="1"/>
      <w:numFmt w:val="lowerLetter"/>
      <w:lvlText w:val="%5."/>
      <w:lvlJc w:val="left"/>
      <w:pPr>
        <w:ind w:left="3600" w:hanging="360"/>
      </w:pPr>
    </w:lvl>
    <w:lvl w:ilvl="5" w:tplc="E86E690A">
      <w:start w:val="1"/>
      <w:numFmt w:val="lowerRoman"/>
      <w:lvlText w:val="%6."/>
      <w:lvlJc w:val="right"/>
      <w:pPr>
        <w:ind w:left="4320" w:hanging="180"/>
      </w:pPr>
    </w:lvl>
    <w:lvl w:ilvl="6" w:tplc="2BFE33C2">
      <w:start w:val="1"/>
      <w:numFmt w:val="decimal"/>
      <w:lvlText w:val="%7."/>
      <w:lvlJc w:val="left"/>
      <w:pPr>
        <w:ind w:left="5040" w:hanging="360"/>
      </w:pPr>
    </w:lvl>
    <w:lvl w:ilvl="7" w:tplc="E4762112">
      <w:start w:val="1"/>
      <w:numFmt w:val="lowerLetter"/>
      <w:lvlText w:val="%8."/>
      <w:lvlJc w:val="left"/>
      <w:pPr>
        <w:ind w:left="5760" w:hanging="360"/>
      </w:pPr>
    </w:lvl>
    <w:lvl w:ilvl="8" w:tplc="2D687082">
      <w:start w:val="1"/>
      <w:numFmt w:val="lowerRoman"/>
      <w:lvlText w:val="%9."/>
      <w:lvlJc w:val="right"/>
      <w:pPr>
        <w:ind w:left="6480" w:hanging="180"/>
      </w:pPr>
    </w:lvl>
  </w:abstractNum>
  <w:abstractNum w:abstractNumId="76" w15:restartNumberingAfterBreak="0">
    <w:nsid w:val="67D528AB"/>
    <w:multiLevelType w:val="multilevel"/>
    <w:tmpl w:val="D29AF1D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689F6F74"/>
    <w:multiLevelType w:val="multilevel"/>
    <w:tmpl w:val="16B8EEB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6B8C2E6D"/>
    <w:multiLevelType w:val="multilevel"/>
    <w:tmpl w:val="AF504126"/>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6BB95663"/>
    <w:multiLevelType w:val="multilevel"/>
    <w:tmpl w:val="A83CAA92"/>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0" w15:restartNumberingAfterBreak="0">
    <w:nsid w:val="6F403B97"/>
    <w:multiLevelType w:val="multilevel"/>
    <w:tmpl w:val="A1CCB04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7032004A"/>
    <w:multiLevelType w:val="multilevel"/>
    <w:tmpl w:val="7DFCB67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733466DB"/>
    <w:multiLevelType w:val="multilevel"/>
    <w:tmpl w:val="5EB6F9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74290AFC"/>
    <w:multiLevelType w:val="multilevel"/>
    <w:tmpl w:val="CD6C1C08"/>
    <w:lvl w:ilvl="0">
      <w:start w:val="1"/>
      <w:numFmt w:val="decimal"/>
      <w:pStyle w:val="Estilo1"/>
      <w:lvlText w:val="%1."/>
      <w:lvlJc w:val="left"/>
      <w:pPr>
        <w:ind w:left="720" w:hanging="360"/>
      </w:pPr>
    </w:lvl>
    <w:lvl w:ilvl="1">
      <w:start w:val="1"/>
      <w:numFmt w:val="decimal"/>
      <w:pStyle w:val="Estilo4"/>
      <w:isLgl/>
      <w:lvlText w:val="%1.%2."/>
      <w:lvlJc w:val="left"/>
      <w:pPr>
        <w:ind w:left="1440" w:hanging="720"/>
      </w:pPr>
      <w:rPr>
        <w:rFonts w:hint="default"/>
      </w:rPr>
    </w:lvl>
    <w:lvl w:ilvl="2">
      <w:start w:val="1"/>
      <w:numFmt w:val="decimal"/>
      <w:pStyle w:val="Estilo5"/>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4" w15:restartNumberingAfterBreak="0">
    <w:nsid w:val="779A112C"/>
    <w:multiLevelType w:val="multilevel"/>
    <w:tmpl w:val="039CEDF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7E4D1319"/>
    <w:multiLevelType w:val="multilevel"/>
    <w:tmpl w:val="CFE2A78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06832764">
    <w:abstractNumId w:val="19"/>
  </w:num>
  <w:num w:numId="2" w16cid:durableId="1499077589">
    <w:abstractNumId w:val="36"/>
  </w:num>
  <w:num w:numId="3" w16cid:durableId="639068313">
    <w:abstractNumId w:val="55"/>
  </w:num>
  <w:num w:numId="4" w16cid:durableId="252394749">
    <w:abstractNumId w:val="27"/>
  </w:num>
  <w:num w:numId="5" w16cid:durableId="1743945199">
    <w:abstractNumId w:val="51"/>
  </w:num>
  <w:num w:numId="6" w16cid:durableId="1396316153">
    <w:abstractNumId w:val="49"/>
  </w:num>
  <w:num w:numId="7" w16cid:durableId="1820490000">
    <w:abstractNumId w:val="57"/>
  </w:num>
  <w:num w:numId="8" w16cid:durableId="1348362429">
    <w:abstractNumId w:val="11"/>
  </w:num>
  <w:num w:numId="9" w16cid:durableId="1556426696">
    <w:abstractNumId w:val="32"/>
  </w:num>
  <w:num w:numId="10" w16cid:durableId="1018199259">
    <w:abstractNumId w:val="5"/>
  </w:num>
  <w:num w:numId="11" w16cid:durableId="397828873">
    <w:abstractNumId w:val="25"/>
  </w:num>
  <w:num w:numId="12" w16cid:durableId="2004312600">
    <w:abstractNumId w:val="35"/>
  </w:num>
  <w:num w:numId="13" w16cid:durableId="1980264059">
    <w:abstractNumId w:val="79"/>
  </w:num>
  <w:num w:numId="14" w16cid:durableId="1717045970">
    <w:abstractNumId w:val="45"/>
  </w:num>
  <w:num w:numId="15" w16cid:durableId="1482430089">
    <w:abstractNumId w:val="58"/>
  </w:num>
  <w:num w:numId="16" w16cid:durableId="1759714930">
    <w:abstractNumId w:val="1"/>
  </w:num>
  <w:num w:numId="17" w16cid:durableId="1059744521">
    <w:abstractNumId w:val="75"/>
  </w:num>
  <w:num w:numId="18" w16cid:durableId="1043480400">
    <w:abstractNumId w:val="69"/>
  </w:num>
  <w:num w:numId="19" w16cid:durableId="736365477">
    <w:abstractNumId w:val="21"/>
  </w:num>
  <w:num w:numId="20" w16cid:durableId="1808668753">
    <w:abstractNumId w:val="60"/>
    <w:lvlOverride w:ilvl="0">
      <w:startOverride w:val="5"/>
    </w:lvlOverride>
    <w:lvlOverride w:ilvl="1">
      <w:startOverride w:val="2"/>
    </w:lvlOverride>
  </w:num>
  <w:num w:numId="21" w16cid:durableId="333268833">
    <w:abstractNumId w:val="17"/>
  </w:num>
  <w:num w:numId="22" w16cid:durableId="894855830">
    <w:abstractNumId w:val="83"/>
  </w:num>
  <w:num w:numId="23" w16cid:durableId="1708721921">
    <w:abstractNumId w:val="10"/>
  </w:num>
  <w:num w:numId="24" w16cid:durableId="879125123">
    <w:abstractNumId w:val="37"/>
  </w:num>
  <w:num w:numId="25" w16cid:durableId="841507300">
    <w:abstractNumId w:val="43"/>
  </w:num>
  <w:num w:numId="26" w16cid:durableId="540292269">
    <w:abstractNumId w:val="63"/>
  </w:num>
  <w:num w:numId="27" w16cid:durableId="583805034">
    <w:abstractNumId w:val="67"/>
  </w:num>
  <w:num w:numId="28" w16cid:durableId="236405327">
    <w:abstractNumId w:val="34"/>
  </w:num>
  <w:num w:numId="29" w16cid:durableId="1824469450">
    <w:abstractNumId w:val="31"/>
  </w:num>
  <w:num w:numId="30" w16cid:durableId="404378634">
    <w:abstractNumId w:val="71"/>
  </w:num>
  <w:num w:numId="31" w16cid:durableId="274824528">
    <w:abstractNumId w:val="13"/>
  </w:num>
  <w:num w:numId="32" w16cid:durableId="233705721">
    <w:abstractNumId w:val="56"/>
  </w:num>
  <w:num w:numId="33" w16cid:durableId="899440636">
    <w:abstractNumId w:val="68"/>
  </w:num>
  <w:num w:numId="34" w16cid:durableId="1731072156">
    <w:abstractNumId w:val="15"/>
  </w:num>
  <w:num w:numId="35" w16cid:durableId="810749477">
    <w:abstractNumId w:val="7"/>
  </w:num>
  <w:num w:numId="36" w16cid:durableId="1153913158">
    <w:abstractNumId w:val="48"/>
  </w:num>
  <w:num w:numId="37" w16cid:durableId="849686926">
    <w:abstractNumId w:val="46"/>
  </w:num>
  <w:num w:numId="38" w16cid:durableId="1970696614">
    <w:abstractNumId w:val="24"/>
  </w:num>
  <w:num w:numId="39" w16cid:durableId="1922911136">
    <w:abstractNumId w:val="8"/>
  </w:num>
  <w:num w:numId="40" w16cid:durableId="28843186">
    <w:abstractNumId w:val="26"/>
  </w:num>
  <w:num w:numId="41" w16cid:durableId="1970234320">
    <w:abstractNumId w:val="3"/>
  </w:num>
  <w:num w:numId="42" w16cid:durableId="638457598">
    <w:abstractNumId w:val="70"/>
  </w:num>
  <w:num w:numId="43" w16cid:durableId="1361395463">
    <w:abstractNumId w:val="23"/>
  </w:num>
  <w:num w:numId="44" w16cid:durableId="1037317869">
    <w:abstractNumId w:val="30"/>
  </w:num>
  <w:num w:numId="45" w16cid:durableId="1818108143">
    <w:abstractNumId w:val="62"/>
  </w:num>
  <w:num w:numId="46" w16cid:durableId="2122332759">
    <w:abstractNumId w:val="4"/>
  </w:num>
  <w:num w:numId="47" w16cid:durableId="1351951915">
    <w:abstractNumId w:val="81"/>
  </w:num>
  <w:num w:numId="48" w16cid:durableId="344865871">
    <w:abstractNumId w:val="14"/>
  </w:num>
  <w:num w:numId="49" w16cid:durableId="435028792">
    <w:abstractNumId w:val="77"/>
  </w:num>
  <w:num w:numId="50" w16cid:durableId="1788313167">
    <w:abstractNumId w:val="73"/>
  </w:num>
  <w:num w:numId="51" w16cid:durableId="8608004">
    <w:abstractNumId w:val="59"/>
  </w:num>
  <w:num w:numId="52" w16cid:durableId="1198738288">
    <w:abstractNumId w:val="9"/>
  </w:num>
  <w:num w:numId="53" w16cid:durableId="337587652">
    <w:abstractNumId w:val="42"/>
  </w:num>
  <w:num w:numId="54" w16cid:durableId="160976402">
    <w:abstractNumId w:val="76"/>
  </w:num>
  <w:num w:numId="55" w16cid:durableId="1957983394">
    <w:abstractNumId w:val="16"/>
  </w:num>
  <w:num w:numId="56" w16cid:durableId="1603300913">
    <w:abstractNumId w:val="78"/>
  </w:num>
  <w:num w:numId="57" w16cid:durableId="1968658242">
    <w:abstractNumId w:val="61"/>
  </w:num>
  <w:num w:numId="58" w16cid:durableId="138159888">
    <w:abstractNumId w:val="66"/>
  </w:num>
  <w:num w:numId="59" w16cid:durableId="496772014">
    <w:abstractNumId w:val="65"/>
  </w:num>
  <w:num w:numId="60" w16cid:durableId="176502268">
    <w:abstractNumId w:val="20"/>
  </w:num>
  <w:num w:numId="61" w16cid:durableId="399714389">
    <w:abstractNumId w:val="40"/>
  </w:num>
  <w:num w:numId="62" w16cid:durableId="960067862">
    <w:abstractNumId w:val="2"/>
  </w:num>
  <w:num w:numId="63" w16cid:durableId="1288976069">
    <w:abstractNumId w:val="50"/>
  </w:num>
  <w:num w:numId="64" w16cid:durableId="1927227849">
    <w:abstractNumId w:val="39"/>
  </w:num>
  <w:num w:numId="65" w16cid:durableId="1731683528">
    <w:abstractNumId w:val="12"/>
  </w:num>
  <w:num w:numId="66" w16cid:durableId="1962300420">
    <w:abstractNumId w:val="85"/>
  </w:num>
  <w:num w:numId="67" w16cid:durableId="452283913">
    <w:abstractNumId w:val="33"/>
  </w:num>
  <w:num w:numId="68" w16cid:durableId="914824550">
    <w:abstractNumId w:val="64"/>
  </w:num>
  <w:num w:numId="69" w16cid:durableId="12538702">
    <w:abstractNumId w:val="74"/>
  </w:num>
  <w:num w:numId="70" w16cid:durableId="863057205">
    <w:abstractNumId w:val="28"/>
  </w:num>
  <w:num w:numId="71" w16cid:durableId="1374233372">
    <w:abstractNumId w:val="41"/>
  </w:num>
  <w:num w:numId="72" w16cid:durableId="1805466615">
    <w:abstractNumId w:val="80"/>
  </w:num>
  <w:num w:numId="73" w16cid:durableId="275333991">
    <w:abstractNumId w:val="54"/>
  </w:num>
  <w:num w:numId="74" w16cid:durableId="1123621308">
    <w:abstractNumId w:val="0"/>
  </w:num>
  <w:num w:numId="75" w16cid:durableId="797452189">
    <w:abstractNumId w:val="72"/>
  </w:num>
  <w:num w:numId="76" w16cid:durableId="2009479481">
    <w:abstractNumId w:val="44"/>
  </w:num>
  <w:num w:numId="77" w16cid:durableId="911547216">
    <w:abstractNumId w:val="82"/>
  </w:num>
  <w:num w:numId="78" w16cid:durableId="1138449622">
    <w:abstractNumId w:val="84"/>
  </w:num>
  <w:num w:numId="79" w16cid:durableId="478809777">
    <w:abstractNumId w:val="29"/>
  </w:num>
  <w:num w:numId="80" w16cid:durableId="1393385386">
    <w:abstractNumId w:val="38"/>
  </w:num>
  <w:num w:numId="81" w16cid:durableId="872109319">
    <w:abstractNumId w:val="18"/>
  </w:num>
  <w:num w:numId="82" w16cid:durableId="590427384">
    <w:abstractNumId w:val="53"/>
  </w:num>
  <w:num w:numId="83" w16cid:durableId="608895836">
    <w:abstractNumId w:val="47"/>
  </w:num>
  <w:num w:numId="84" w16cid:durableId="976034390">
    <w:abstractNumId w:val="52"/>
  </w:num>
  <w:num w:numId="85" w16cid:durableId="1715036549">
    <w:abstractNumId w:val="22"/>
  </w:num>
  <w:num w:numId="86" w16cid:durableId="1266110530">
    <w:abstractNumId w:val="6"/>
  </w:num>
  <w:numIdMacAtCleanup w:val="24"/>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74"/>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B36"/>
    <w:rsid w:val="000001F0"/>
    <w:rsid w:val="0000219D"/>
    <w:rsid w:val="000024B0"/>
    <w:rsid w:val="00002B4E"/>
    <w:rsid w:val="000035C5"/>
    <w:rsid w:val="00003745"/>
    <w:rsid w:val="000046EC"/>
    <w:rsid w:val="000047A1"/>
    <w:rsid w:val="00004A1D"/>
    <w:rsid w:val="00004F8C"/>
    <w:rsid w:val="00011DBD"/>
    <w:rsid w:val="00012D64"/>
    <w:rsid w:val="00016B20"/>
    <w:rsid w:val="00017BC6"/>
    <w:rsid w:val="00021EE2"/>
    <w:rsid w:val="0002413D"/>
    <w:rsid w:val="000251CA"/>
    <w:rsid w:val="0002717C"/>
    <w:rsid w:val="00027D2F"/>
    <w:rsid w:val="0003074F"/>
    <w:rsid w:val="000320DD"/>
    <w:rsid w:val="00032420"/>
    <w:rsid w:val="00033B27"/>
    <w:rsid w:val="00034C98"/>
    <w:rsid w:val="00034EC8"/>
    <w:rsid w:val="00035CBE"/>
    <w:rsid w:val="00040044"/>
    <w:rsid w:val="000405BF"/>
    <w:rsid w:val="00041715"/>
    <w:rsid w:val="00042EE3"/>
    <w:rsid w:val="0004335A"/>
    <w:rsid w:val="0004482E"/>
    <w:rsid w:val="00044DA8"/>
    <w:rsid w:val="00045509"/>
    <w:rsid w:val="00047DD4"/>
    <w:rsid w:val="00050114"/>
    <w:rsid w:val="0005172C"/>
    <w:rsid w:val="00051742"/>
    <w:rsid w:val="0005359F"/>
    <w:rsid w:val="000538F4"/>
    <w:rsid w:val="00053A60"/>
    <w:rsid w:val="00053D51"/>
    <w:rsid w:val="00056683"/>
    <w:rsid w:val="00056A2D"/>
    <w:rsid w:val="00057571"/>
    <w:rsid w:val="00061D79"/>
    <w:rsid w:val="00061F23"/>
    <w:rsid w:val="0006299B"/>
    <w:rsid w:val="00062A95"/>
    <w:rsid w:val="00067E05"/>
    <w:rsid w:val="000716BF"/>
    <w:rsid w:val="000717E1"/>
    <w:rsid w:val="00071F07"/>
    <w:rsid w:val="00073593"/>
    <w:rsid w:val="00073954"/>
    <w:rsid w:val="00073B81"/>
    <w:rsid w:val="00073EE1"/>
    <w:rsid w:val="00074067"/>
    <w:rsid w:val="00076FFC"/>
    <w:rsid w:val="00077097"/>
    <w:rsid w:val="00077F96"/>
    <w:rsid w:val="00080417"/>
    <w:rsid w:val="00080FBE"/>
    <w:rsid w:val="0008127D"/>
    <w:rsid w:val="000813E3"/>
    <w:rsid w:val="00081993"/>
    <w:rsid w:val="00082513"/>
    <w:rsid w:val="00082B71"/>
    <w:rsid w:val="00083D3A"/>
    <w:rsid w:val="00086260"/>
    <w:rsid w:val="0008693B"/>
    <w:rsid w:val="000901D4"/>
    <w:rsid w:val="0009161B"/>
    <w:rsid w:val="000927B8"/>
    <w:rsid w:val="000937DD"/>
    <w:rsid w:val="00094F71"/>
    <w:rsid w:val="000964BC"/>
    <w:rsid w:val="000A04DA"/>
    <w:rsid w:val="000A0FAC"/>
    <w:rsid w:val="000A18B9"/>
    <w:rsid w:val="000A2457"/>
    <w:rsid w:val="000A2C98"/>
    <w:rsid w:val="000A30C4"/>
    <w:rsid w:val="000A325B"/>
    <w:rsid w:val="000A37CB"/>
    <w:rsid w:val="000A6FD6"/>
    <w:rsid w:val="000A7529"/>
    <w:rsid w:val="000A7726"/>
    <w:rsid w:val="000A7B05"/>
    <w:rsid w:val="000B0770"/>
    <w:rsid w:val="000B0CA4"/>
    <w:rsid w:val="000B33E3"/>
    <w:rsid w:val="000B3AC1"/>
    <w:rsid w:val="000B6350"/>
    <w:rsid w:val="000B6B98"/>
    <w:rsid w:val="000B6CA2"/>
    <w:rsid w:val="000B6D38"/>
    <w:rsid w:val="000B724E"/>
    <w:rsid w:val="000B7942"/>
    <w:rsid w:val="000B7BCA"/>
    <w:rsid w:val="000C262E"/>
    <w:rsid w:val="000C2EB7"/>
    <w:rsid w:val="000C410C"/>
    <w:rsid w:val="000C521B"/>
    <w:rsid w:val="000C56D9"/>
    <w:rsid w:val="000C596D"/>
    <w:rsid w:val="000C5DD8"/>
    <w:rsid w:val="000C7E70"/>
    <w:rsid w:val="000D15CD"/>
    <w:rsid w:val="000D1FF6"/>
    <w:rsid w:val="000D2DE3"/>
    <w:rsid w:val="000D3574"/>
    <w:rsid w:val="000D6526"/>
    <w:rsid w:val="000E1020"/>
    <w:rsid w:val="000E1025"/>
    <w:rsid w:val="000E2087"/>
    <w:rsid w:val="000E3525"/>
    <w:rsid w:val="000F0C64"/>
    <w:rsid w:val="000F0E74"/>
    <w:rsid w:val="000F2371"/>
    <w:rsid w:val="000F2CB8"/>
    <w:rsid w:val="000F551D"/>
    <w:rsid w:val="00102A0C"/>
    <w:rsid w:val="00104C8A"/>
    <w:rsid w:val="00105FA6"/>
    <w:rsid w:val="00106A65"/>
    <w:rsid w:val="00110F78"/>
    <w:rsid w:val="001122C1"/>
    <w:rsid w:val="00114295"/>
    <w:rsid w:val="0011447C"/>
    <w:rsid w:val="001160AF"/>
    <w:rsid w:val="0011716E"/>
    <w:rsid w:val="00117464"/>
    <w:rsid w:val="0012031E"/>
    <w:rsid w:val="00123AB8"/>
    <w:rsid w:val="001241DF"/>
    <w:rsid w:val="00124364"/>
    <w:rsid w:val="00124615"/>
    <w:rsid w:val="0012495B"/>
    <w:rsid w:val="0012586F"/>
    <w:rsid w:val="00125D7E"/>
    <w:rsid w:val="00126C66"/>
    <w:rsid w:val="00130636"/>
    <w:rsid w:val="0013285C"/>
    <w:rsid w:val="001346F5"/>
    <w:rsid w:val="00134EE4"/>
    <w:rsid w:val="00135C16"/>
    <w:rsid w:val="001367CC"/>
    <w:rsid w:val="00137863"/>
    <w:rsid w:val="00142746"/>
    <w:rsid w:val="00143F91"/>
    <w:rsid w:val="001458E2"/>
    <w:rsid w:val="001476CC"/>
    <w:rsid w:val="00152E13"/>
    <w:rsid w:val="001544FE"/>
    <w:rsid w:val="00155FEE"/>
    <w:rsid w:val="00157B01"/>
    <w:rsid w:val="00157D0E"/>
    <w:rsid w:val="00160301"/>
    <w:rsid w:val="00160E12"/>
    <w:rsid w:val="00160F12"/>
    <w:rsid w:val="00162AF6"/>
    <w:rsid w:val="00162D4D"/>
    <w:rsid w:val="00163897"/>
    <w:rsid w:val="00163926"/>
    <w:rsid w:val="00163EA7"/>
    <w:rsid w:val="0016547D"/>
    <w:rsid w:val="00173D69"/>
    <w:rsid w:val="00173FA0"/>
    <w:rsid w:val="0017406F"/>
    <w:rsid w:val="001740F4"/>
    <w:rsid w:val="00175884"/>
    <w:rsid w:val="001761ED"/>
    <w:rsid w:val="001842B6"/>
    <w:rsid w:val="001849BA"/>
    <w:rsid w:val="00185299"/>
    <w:rsid w:val="0018684E"/>
    <w:rsid w:val="00186961"/>
    <w:rsid w:val="001873AC"/>
    <w:rsid w:val="00187986"/>
    <w:rsid w:val="0019018D"/>
    <w:rsid w:val="00192BB4"/>
    <w:rsid w:val="001937EB"/>
    <w:rsid w:val="00195647"/>
    <w:rsid w:val="0019601E"/>
    <w:rsid w:val="0019651B"/>
    <w:rsid w:val="001978A0"/>
    <w:rsid w:val="001A1AED"/>
    <w:rsid w:val="001A354B"/>
    <w:rsid w:val="001A50CE"/>
    <w:rsid w:val="001A636E"/>
    <w:rsid w:val="001A70DC"/>
    <w:rsid w:val="001A7348"/>
    <w:rsid w:val="001A7919"/>
    <w:rsid w:val="001B0409"/>
    <w:rsid w:val="001B0422"/>
    <w:rsid w:val="001B1685"/>
    <w:rsid w:val="001B24E5"/>
    <w:rsid w:val="001B344D"/>
    <w:rsid w:val="001B54DE"/>
    <w:rsid w:val="001B6559"/>
    <w:rsid w:val="001C04AD"/>
    <w:rsid w:val="001C052E"/>
    <w:rsid w:val="001C2963"/>
    <w:rsid w:val="001C2E84"/>
    <w:rsid w:val="001C3105"/>
    <w:rsid w:val="001C3906"/>
    <w:rsid w:val="001C6E04"/>
    <w:rsid w:val="001C734F"/>
    <w:rsid w:val="001D0F40"/>
    <w:rsid w:val="001D49CE"/>
    <w:rsid w:val="001D5755"/>
    <w:rsid w:val="001D5DCF"/>
    <w:rsid w:val="001D742F"/>
    <w:rsid w:val="001E01E4"/>
    <w:rsid w:val="001E02BF"/>
    <w:rsid w:val="001E07C1"/>
    <w:rsid w:val="001E1F6C"/>
    <w:rsid w:val="001E2105"/>
    <w:rsid w:val="001E2AD6"/>
    <w:rsid w:val="001E6562"/>
    <w:rsid w:val="001E7B77"/>
    <w:rsid w:val="001E7FBB"/>
    <w:rsid w:val="001F41AE"/>
    <w:rsid w:val="001F45F6"/>
    <w:rsid w:val="001F4CC8"/>
    <w:rsid w:val="001F62D2"/>
    <w:rsid w:val="001F6E48"/>
    <w:rsid w:val="001F7337"/>
    <w:rsid w:val="002021F7"/>
    <w:rsid w:val="00204E74"/>
    <w:rsid w:val="00207B03"/>
    <w:rsid w:val="002119D2"/>
    <w:rsid w:val="00212DE8"/>
    <w:rsid w:val="00212FF2"/>
    <w:rsid w:val="00213199"/>
    <w:rsid w:val="00213AF0"/>
    <w:rsid w:val="002158BB"/>
    <w:rsid w:val="00215CAB"/>
    <w:rsid w:val="00215CDB"/>
    <w:rsid w:val="00215D61"/>
    <w:rsid w:val="00216352"/>
    <w:rsid w:val="002208E7"/>
    <w:rsid w:val="00220909"/>
    <w:rsid w:val="0022254F"/>
    <w:rsid w:val="00223D70"/>
    <w:rsid w:val="00227104"/>
    <w:rsid w:val="0023210D"/>
    <w:rsid w:val="00232CD6"/>
    <w:rsid w:val="00232F4C"/>
    <w:rsid w:val="00233784"/>
    <w:rsid w:val="00233ABE"/>
    <w:rsid w:val="002344D2"/>
    <w:rsid w:val="0023579C"/>
    <w:rsid w:val="00235B56"/>
    <w:rsid w:val="002367E6"/>
    <w:rsid w:val="00237688"/>
    <w:rsid w:val="0023792E"/>
    <w:rsid w:val="00240397"/>
    <w:rsid w:val="00240B31"/>
    <w:rsid w:val="00241128"/>
    <w:rsid w:val="00241D8E"/>
    <w:rsid w:val="00242226"/>
    <w:rsid w:val="00243573"/>
    <w:rsid w:val="00246142"/>
    <w:rsid w:val="00246512"/>
    <w:rsid w:val="002473C7"/>
    <w:rsid w:val="00247770"/>
    <w:rsid w:val="00250431"/>
    <w:rsid w:val="002534EC"/>
    <w:rsid w:val="00253700"/>
    <w:rsid w:val="00253823"/>
    <w:rsid w:val="00255542"/>
    <w:rsid w:val="00255ABC"/>
    <w:rsid w:val="00256315"/>
    <w:rsid w:val="00256928"/>
    <w:rsid w:val="0025761E"/>
    <w:rsid w:val="002603DD"/>
    <w:rsid w:val="002607F4"/>
    <w:rsid w:val="00263052"/>
    <w:rsid w:val="00263911"/>
    <w:rsid w:val="00264CFD"/>
    <w:rsid w:val="002659D1"/>
    <w:rsid w:val="00266319"/>
    <w:rsid w:val="00267072"/>
    <w:rsid w:val="0026797C"/>
    <w:rsid w:val="00270099"/>
    <w:rsid w:val="00272164"/>
    <w:rsid w:val="00283FB4"/>
    <w:rsid w:val="002843F6"/>
    <w:rsid w:val="0028519D"/>
    <w:rsid w:val="002871C1"/>
    <w:rsid w:val="0028729A"/>
    <w:rsid w:val="00290BE0"/>
    <w:rsid w:val="00291E03"/>
    <w:rsid w:val="00294C3D"/>
    <w:rsid w:val="002A05DB"/>
    <w:rsid w:val="002A1169"/>
    <w:rsid w:val="002A2936"/>
    <w:rsid w:val="002A2DBC"/>
    <w:rsid w:val="002A32BC"/>
    <w:rsid w:val="002A4D57"/>
    <w:rsid w:val="002A5EAD"/>
    <w:rsid w:val="002A6D78"/>
    <w:rsid w:val="002A7D01"/>
    <w:rsid w:val="002B073B"/>
    <w:rsid w:val="002B263E"/>
    <w:rsid w:val="002B2AD0"/>
    <w:rsid w:val="002B4F71"/>
    <w:rsid w:val="002B5C1D"/>
    <w:rsid w:val="002B693F"/>
    <w:rsid w:val="002B6E65"/>
    <w:rsid w:val="002B7F22"/>
    <w:rsid w:val="002C199E"/>
    <w:rsid w:val="002C228F"/>
    <w:rsid w:val="002C28BB"/>
    <w:rsid w:val="002C318B"/>
    <w:rsid w:val="002C3787"/>
    <w:rsid w:val="002C579F"/>
    <w:rsid w:val="002C5F90"/>
    <w:rsid w:val="002C64E5"/>
    <w:rsid w:val="002C6613"/>
    <w:rsid w:val="002C6BD9"/>
    <w:rsid w:val="002D0101"/>
    <w:rsid w:val="002D35D7"/>
    <w:rsid w:val="002D36A2"/>
    <w:rsid w:val="002D3AFE"/>
    <w:rsid w:val="002D48B7"/>
    <w:rsid w:val="002D5221"/>
    <w:rsid w:val="002D74E5"/>
    <w:rsid w:val="002E1E79"/>
    <w:rsid w:val="002E20AB"/>
    <w:rsid w:val="002E2710"/>
    <w:rsid w:val="002E3789"/>
    <w:rsid w:val="002E3F09"/>
    <w:rsid w:val="002E3F22"/>
    <w:rsid w:val="002E59F3"/>
    <w:rsid w:val="002E659E"/>
    <w:rsid w:val="002E66F3"/>
    <w:rsid w:val="002E74EB"/>
    <w:rsid w:val="002E7B9B"/>
    <w:rsid w:val="002F0A26"/>
    <w:rsid w:val="002F1947"/>
    <w:rsid w:val="002F393D"/>
    <w:rsid w:val="002F54B2"/>
    <w:rsid w:val="002F5A77"/>
    <w:rsid w:val="00300D23"/>
    <w:rsid w:val="00301082"/>
    <w:rsid w:val="00301D92"/>
    <w:rsid w:val="00302E13"/>
    <w:rsid w:val="0030392C"/>
    <w:rsid w:val="00303EA8"/>
    <w:rsid w:val="0030479C"/>
    <w:rsid w:val="0030489C"/>
    <w:rsid w:val="003049E6"/>
    <w:rsid w:val="00306038"/>
    <w:rsid w:val="003070EE"/>
    <w:rsid w:val="00311404"/>
    <w:rsid w:val="00311590"/>
    <w:rsid w:val="00313719"/>
    <w:rsid w:val="00314FF8"/>
    <w:rsid w:val="003165B9"/>
    <w:rsid w:val="0032197C"/>
    <w:rsid w:val="00323768"/>
    <w:rsid w:val="0032637B"/>
    <w:rsid w:val="00327843"/>
    <w:rsid w:val="00330389"/>
    <w:rsid w:val="003310CD"/>
    <w:rsid w:val="00332B2D"/>
    <w:rsid w:val="00340A11"/>
    <w:rsid w:val="00343EF5"/>
    <w:rsid w:val="0034453C"/>
    <w:rsid w:val="00347739"/>
    <w:rsid w:val="0035313D"/>
    <w:rsid w:val="003537BC"/>
    <w:rsid w:val="00355BEE"/>
    <w:rsid w:val="00361B53"/>
    <w:rsid w:val="00362B88"/>
    <w:rsid w:val="00363376"/>
    <w:rsid w:val="0036347F"/>
    <w:rsid w:val="003659D1"/>
    <w:rsid w:val="003672B2"/>
    <w:rsid w:val="0037013E"/>
    <w:rsid w:val="00370A01"/>
    <w:rsid w:val="003716F7"/>
    <w:rsid w:val="00373C60"/>
    <w:rsid w:val="003740AE"/>
    <w:rsid w:val="00374CBF"/>
    <w:rsid w:val="00377C2F"/>
    <w:rsid w:val="00380099"/>
    <w:rsid w:val="00380104"/>
    <w:rsid w:val="00381E42"/>
    <w:rsid w:val="003822B3"/>
    <w:rsid w:val="00382E78"/>
    <w:rsid w:val="00386E88"/>
    <w:rsid w:val="0039017D"/>
    <w:rsid w:val="00392EBD"/>
    <w:rsid w:val="00393D4D"/>
    <w:rsid w:val="00393D5D"/>
    <w:rsid w:val="00393DB3"/>
    <w:rsid w:val="00394565"/>
    <w:rsid w:val="00394BE9"/>
    <w:rsid w:val="00394D71"/>
    <w:rsid w:val="00395B8D"/>
    <w:rsid w:val="00395F18"/>
    <w:rsid w:val="00395F4C"/>
    <w:rsid w:val="00397D31"/>
    <w:rsid w:val="00397ED9"/>
    <w:rsid w:val="003A2B1F"/>
    <w:rsid w:val="003A3319"/>
    <w:rsid w:val="003A4594"/>
    <w:rsid w:val="003A563C"/>
    <w:rsid w:val="003A62AD"/>
    <w:rsid w:val="003A65C1"/>
    <w:rsid w:val="003A6F1D"/>
    <w:rsid w:val="003B00F2"/>
    <w:rsid w:val="003B0C39"/>
    <w:rsid w:val="003B0D27"/>
    <w:rsid w:val="003B0EF9"/>
    <w:rsid w:val="003B17D5"/>
    <w:rsid w:val="003B19F4"/>
    <w:rsid w:val="003B1A99"/>
    <w:rsid w:val="003B2501"/>
    <w:rsid w:val="003B333C"/>
    <w:rsid w:val="003B460F"/>
    <w:rsid w:val="003B56CE"/>
    <w:rsid w:val="003B5858"/>
    <w:rsid w:val="003B66BC"/>
    <w:rsid w:val="003B6B8B"/>
    <w:rsid w:val="003B6E93"/>
    <w:rsid w:val="003C29F1"/>
    <w:rsid w:val="003C2AE4"/>
    <w:rsid w:val="003C2B54"/>
    <w:rsid w:val="003C54DE"/>
    <w:rsid w:val="003D18A5"/>
    <w:rsid w:val="003D251E"/>
    <w:rsid w:val="003D3CC3"/>
    <w:rsid w:val="003D5E90"/>
    <w:rsid w:val="003D75A8"/>
    <w:rsid w:val="003D7E4E"/>
    <w:rsid w:val="003D7F17"/>
    <w:rsid w:val="003E0DB8"/>
    <w:rsid w:val="003E152B"/>
    <w:rsid w:val="003E3BF1"/>
    <w:rsid w:val="003E490E"/>
    <w:rsid w:val="003E6922"/>
    <w:rsid w:val="003E77D9"/>
    <w:rsid w:val="003E78CF"/>
    <w:rsid w:val="003F4704"/>
    <w:rsid w:val="003F4BAC"/>
    <w:rsid w:val="003F5CB6"/>
    <w:rsid w:val="003F7E76"/>
    <w:rsid w:val="00401959"/>
    <w:rsid w:val="0040206A"/>
    <w:rsid w:val="00402BEF"/>
    <w:rsid w:val="00403BFB"/>
    <w:rsid w:val="00404D3B"/>
    <w:rsid w:val="00404FED"/>
    <w:rsid w:val="004061E1"/>
    <w:rsid w:val="00407C45"/>
    <w:rsid w:val="00411A4B"/>
    <w:rsid w:val="00413634"/>
    <w:rsid w:val="004139DD"/>
    <w:rsid w:val="004171E6"/>
    <w:rsid w:val="00417A9B"/>
    <w:rsid w:val="00421BB1"/>
    <w:rsid w:val="00421F2C"/>
    <w:rsid w:val="00422838"/>
    <w:rsid w:val="00423D34"/>
    <w:rsid w:val="004241A3"/>
    <w:rsid w:val="00424630"/>
    <w:rsid w:val="0042718C"/>
    <w:rsid w:val="00427740"/>
    <w:rsid w:val="00427F50"/>
    <w:rsid w:val="00430AB5"/>
    <w:rsid w:val="00431F31"/>
    <w:rsid w:val="00433886"/>
    <w:rsid w:val="004356B4"/>
    <w:rsid w:val="00436E05"/>
    <w:rsid w:val="004377B2"/>
    <w:rsid w:val="00441BBA"/>
    <w:rsid w:val="004427BF"/>
    <w:rsid w:val="004429F3"/>
    <w:rsid w:val="00444071"/>
    <w:rsid w:val="00446F08"/>
    <w:rsid w:val="00455649"/>
    <w:rsid w:val="00461435"/>
    <w:rsid w:val="004619E0"/>
    <w:rsid w:val="00461D77"/>
    <w:rsid w:val="0046440E"/>
    <w:rsid w:val="00464D64"/>
    <w:rsid w:val="0046744A"/>
    <w:rsid w:val="0046761A"/>
    <w:rsid w:val="0047094C"/>
    <w:rsid w:val="0047114B"/>
    <w:rsid w:val="00471F44"/>
    <w:rsid w:val="00472B7B"/>
    <w:rsid w:val="0047573E"/>
    <w:rsid w:val="00476AF5"/>
    <w:rsid w:val="00476C1A"/>
    <w:rsid w:val="00476DA5"/>
    <w:rsid w:val="004804A1"/>
    <w:rsid w:val="00481B0C"/>
    <w:rsid w:val="0048333B"/>
    <w:rsid w:val="004835D3"/>
    <w:rsid w:val="00485592"/>
    <w:rsid w:val="0048640D"/>
    <w:rsid w:val="00486D98"/>
    <w:rsid w:val="00490D56"/>
    <w:rsid w:val="004925C3"/>
    <w:rsid w:val="00492C4F"/>
    <w:rsid w:val="0049594A"/>
    <w:rsid w:val="004979C8"/>
    <w:rsid w:val="004A036E"/>
    <w:rsid w:val="004A073C"/>
    <w:rsid w:val="004A26AE"/>
    <w:rsid w:val="004A37C5"/>
    <w:rsid w:val="004A4146"/>
    <w:rsid w:val="004A57B2"/>
    <w:rsid w:val="004A6F9B"/>
    <w:rsid w:val="004A6FBB"/>
    <w:rsid w:val="004B3300"/>
    <w:rsid w:val="004B4B1B"/>
    <w:rsid w:val="004B5CC4"/>
    <w:rsid w:val="004B6899"/>
    <w:rsid w:val="004B7117"/>
    <w:rsid w:val="004B7E58"/>
    <w:rsid w:val="004C050F"/>
    <w:rsid w:val="004C0A76"/>
    <w:rsid w:val="004C0CFD"/>
    <w:rsid w:val="004C1E30"/>
    <w:rsid w:val="004C2577"/>
    <w:rsid w:val="004C3275"/>
    <w:rsid w:val="004C504B"/>
    <w:rsid w:val="004C6915"/>
    <w:rsid w:val="004D7900"/>
    <w:rsid w:val="004D7A2E"/>
    <w:rsid w:val="004E124B"/>
    <w:rsid w:val="004E1776"/>
    <w:rsid w:val="004E18D1"/>
    <w:rsid w:val="004E2377"/>
    <w:rsid w:val="004E2441"/>
    <w:rsid w:val="004E52EB"/>
    <w:rsid w:val="004E59AE"/>
    <w:rsid w:val="004E5E39"/>
    <w:rsid w:val="004E739C"/>
    <w:rsid w:val="004F3181"/>
    <w:rsid w:val="004F4A37"/>
    <w:rsid w:val="004F55AD"/>
    <w:rsid w:val="004F6D20"/>
    <w:rsid w:val="00500510"/>
    <w:rsid w:val="00501995"/>
    <w:rsid w:val="00502CB9"/>
    <w:rsid w:val="00503142"/>
    <w:rsid w:val="00503B55"/>
    <w:rsid w:val="005043FD"/>
    <w:rsid w:val="005060EA"/>
    <w:rsid w:val="0050617B"/>
    <w:rsid w:val="0050666A"/>
    <w:rsid w:val="00507F8F"/>
    <w:rsid w:val="005109F3"/>
    <w:rsid w:val="00511ADF"/>
    <w:rsid w:val="00511B36"/>
    <w:rsid w:val="00512E63"/>
    <w:rsid w:val="00513628"/>
    <w:rsid w:val="005136A1"/>
    <w:rsid w:val="005138BC"/>
    <w:rsid w:val="0051552D"/>
    <w:rsid w:val="00516032"/>
    <w:rsid w:val="00516953"/>
    <w:rsid w:val="00517258"/>
    <w:rsid w:val="005202D7"/>
    <w:rsid w:val="005207C7"/>
    <w:rsid w:val="0052213C"/>
    <w:rsid w:val="005247F6"/>
    <w:rsid w:val="00524C30"/>
    <w:rsid w:val="00525BA1"/>
    <w:rsid w:val="00525E3B"/>
    <w:rsid w:val="005277CA"/>
    <w:rsid w:val="0053139F"/>
    <w:rsid w:val="00533CB7"/>
    <w:rsid w:val="0053575A"/>
    <w:rsid w:val="0053683E"/>
    <w:rsid w:val="005368B9"/>
    <w:rsid w:val="00536BCC"/>
    <w:rsid w:val="0053764F"/>
    <w:rsid w:val="00537965"/>
    <w:rsid w:val="00543194"/>
    <w:rsid w:val="005435A8"/>
    <w:rsid w:val="00544DF0"/>
    <w:rsid w:val="00545601"/>
    <w:rsid w:val="00545978"/>
    <w:rsid w:val="00545CB5"/>
    <w:rsid w:val="00547BE8"/>
    <w:rsid w:val="00547DEA"/>
    <w:rsid w:val="00550A59"/>
    <w:rsid w:val="00551313"/>
    <w:rsid w:val="00552609"/>
    <w:rsid w:val="005548EE"/>
    <w:rsid w:val="00554F24"/>
    <w:rsid w:val="005569DA"/>
    <w:rsid w:val="00557DCD"/>
    <w:rsid w:val="00560409"/>
    <w:rsid w:val="005606AE"/>
    <w:rsid w:val="0056122C"/>
    <w:rsid w:val="0056247E"/>
    <w:rsid w:val="0056275E"/>
    <w:rsid w:val="005629F6"/>
    <w:rsid w:val="00562C84"/>
    <w:rsid w:val="00564F75"/>
    <w:rsid w:val="00565524"/>
    <w:rsid w:val="00567399"/>
    <w:rsid w:val="0056781F"/>
    <w:rsid w:val="00570B32"/>
    <w:rsid w:val="00570EE4"/>
    <w:rsid w:val="0057118A"/>
    <w:rsid w:val="00571928"/>
    <w:rsid w:val="00572DF7"/>
    <w:rsid w:val="005739C6"/>
    <w:rsid w:val="00575E4B"/>
    <w:rsid w:val="005768A4"/>
    <w:rsid w:val="00577523"/>
    <w:rsid w:val="00577A9F"/>
    <w:rsid w:val="00581F5A"/>
    <w:rsid w:val="00582A8F"/>
    <w:rsid w:val="005831F5"/>
    <w:rsid w:val="005876AC"/>
    <w:rsid w:val="005917F5"/>
    <w:rsid w:val="00592411"/>
    <w:rsid w:val="00594CD1"/>
    <w:rsid w:val="00594FEC"/>
    <w:rsid w:val="00595FDE"/>
    <w:rsid w:val="005A0673"/>
    <w:rsid w:val="005A14C7"/>
    <w:rsid w:val="005A17F7"/>
    <w:rsid w:val="005B1588"/>
    <w:rsid w:val="005B15D2"/>
    <w:rsid w:val="005B1A5E"/>
    <w:rsid w:val="005B2CB1"/>
    <w:rsid w:val="005B4769"/>
    <w:rsid w:val="005B52D4"/>
    <w:rsid w:val="005B5940"/>
    <w:rsid w:val="005B6AA5"/>
    <w:rsid w:val="005B71ED"/>
    <w:rsid w:val="005C2F36"/>
    <w:rsid w:val="005C3845"/>
    <w:rsid w:val="005C4B60"/>
    <w:rsid w:val="005D2DF6"/>
    <w:rsid w:val="005D39CE"/>
    <w:rsid w:val="005D43CD"/>
    <w:rsid w:val="005E5039"/>
    <w:rsid w:val="005E60DD"/>
    <w:rsid w:val="005E744B"/>
    <w:rsid w:val="005E7465"/>
    <w:rsid w:val="005E7CEE"/>
    <w:rsid w:val="005F57A8"/>
    <w:rsid w:val="005F5AA0"/>
    <w:rsid w:val="005F5BE0"/>
    <w:rsid w:val="005F730F"/>
    <w:rsid w:val="005F73BA"/>
    <w:rsid w:val="005F74D7"/>
    <w:rsid w:val="00600305"/>
    <w:rsid w:val="006017D5"/>
    <w:rsid w:val="00602BDE"/>
    <w:rsid w:val="0060354C"/>
    <w:rsid w:val="00604382"/>
    <w:rsid w:val="00605243"/>
    <w:rsid w:val="00605687"/>
    <w:rsid w:val="00605F93"/>
    <w:rsid w:val="006063B2"/>
    <w:rsid w:val="00606626"/>
    <w:rsid w:val="00606AAE"/>
    <w:rsid w:val="0061023E"/>
    <w:rsid w:val="00610E73"/>
    <w:rsid w:val="006128F1"/>
    <w:rsid w:val="0061476A"/>
    <w:rsid w:val="00614858"/>
    <w:rsid w:val="006157E2"/>
    <w:rsid w:val="006166BF"/>
    <w:rsid w:val="0061764F"/>
    <w:rsid w:val="00617684"/>
    <w:rsid w:val="0062002C"/>
    <w:rsid w:val="0062075C"/>
    <w:rsid w:val="00623636"/>
    <w:rsid w:val="006238BB"/>
    <w:rsid w:val="006252DD"/>
    <w:rsid w:val="006275AD"/>
    <w:rsid w:val="006300FA"/>
    <w:rsid w:val="00630EE0"/>
    <w:rsid w:val="00632C8F"/>
    <w:rsid w:val="0063533F"/>
    <w:rsid w:val="00636DAF"/>
    <w:rsid w:val="00637A05"/>
    <w:rsid w:val="00637BF3"/>
    <w:rsid w:val="00642117"/>
    <w:rsid w:val="0064339E"/>
    <w:rsid w:val="00643B08"/>
    <w:rsid w:val="00643B29"/>
    <w:rsid w:val="00644CD1"/>
    <w:rsid w:val="0064520D"/>
    <w:rsid w:val="00645CA7"/>
    <w:rsid w:val="0064632F"/>
    <w:rsid w:val="00647348"/>
    <w:rsid w:val="0064739D"/>
    <w:rsid w:val="0065062A"/>
    <w:rsid w:val="00650BE0"/>
    <w:rsid w:val="006511F5"/>
    <w:rsid w:val="00652775"/>
    <w:rsid w:val="006535C7"/>
    <w:rsid w:val="00654C17"/>
    <w:rsid w:val="00654ED1"/>
    <w:rsid w:val="00655724"/>
    <w:rsid w:val="006568CF"/>
    <w:rsid w:val="0066033D"/>
    <w:rsid w:val="00660792"/>
    <w:rsid w:val="00661AF1"/>
    <w:rsid w:val="00663BC3"/>
    <w:rsid w:val="006652D6"/>
    <w:rsid w:val="00667734"/>
    <w:rsid w:val="00670805"/>
    <w:rsid w:val="00670B80"/>
    <w:rsid w:val="006718F7"/>
    <w:rsid w:val="006728FC"/>
    <w:rsid w:val="00674BEA"/>
    <w:rsid w:val="006752B6"/>
    <w:rsid w:val="006765DC"/>
    <w:rsid w:val="00676B6F"/>
    <w:rsid w:val="00676FD3"/>
    <w:rsid w:val="00681693"/>
    <w:rsid w:val="00690175"/>
    <w:rsid w:val="00691F79"/>
    <w:rsid w:val="0069276B"/>
    <w:rsid w:val="0069312D"/>
    <w:rsid w:val="0069393E"/>
    <w:rsid w:val="00694D40"/>
    <w:rsid w:val="00697CEA"/>
    <w:rsid w:val="006A0446"/>
    <w:rsid w:val="006A0F32"/>
    <w:rsid w:val="006A1DA2"/>
    <w:rsid w:val="006A2ED8"/>
    <w:rsid w:val="006A55ED"/>
    <w:rsid w:val="006A732E"/>
    <w:rsid w:val="006A7380"/>
    <w:rsid w:val="006A74B3"/>
    <w:rsid w:val="006A7EB8"/>
    <w:rsid w:val="006B3AC6"/>
    <w:rsid w:val="006B4412"/>
    <w:rsid w:val="006B70FF"/>
    <w:rsid w:val="006B74EF"/>
    <w:rsid w:val="006B7AC1"/>
    <w:rsid w:val="006B7D76"/>
    <w:rsid w:val="006B7FC1"/>
    <w:rsid w:val="006C0518"/>
    <w:rsid w:val="006C09BA"/>
    <w:rsid w:val="006C1902"/>
    <w:rsid w:val="006C1AD8"/>
    <w:rsid w:val="006C1D8B"/>
    <w:rsid w:val="006C231C"/>
    <w:rsid w:val="006C3252"/>
    <w:rsid w:val="006C5481"/>
    <w:rsid w:val="006C659E"/>
    <w:rsid w:val="006C7D84"/>
    <w:rsid w:val="006D236B"/>
    <w:rsid w:val="006D36AD"/>
    <w:rsid w:val="006D3BA0"/>
    <w:rsid w:val="006D4707"/>
    <w:rsid w:val="006D72A0"/>
    <w:rsid w:val="006D7471"/>
    <w:rsid w:val="006E0429"/>
    <w:rsid w:val="006E0D73"/>
    <w:rsid w:val="006E137E"/>
    <w:rsid w:val="006E3C23"/>
    <w:rsid w:val="006E730D"/>
    <w:rsid w:val="006E76EB"/>
    <w:rsid w:val="006F0576"/>
    <w:rsid w:val="006F1AFF"/>
    <w:rsid w:val="006F27A6"/>
    <w:rsid w:val="006F4E1F"/>
    <w:rsid w:val="006F71D8"/>
    <w:rsid w:val="006F7463"/>
    <w:rsid w:val="00700745"/>
    <w:rsid w:val="00700CE1"/>
    <w:rsid w:val="00701622"/>
    <w:rsid w:val="00701ADD"/>
    <w:rsid w:val="0070489C"/>
    <w:rsid w:val="0070661D"/>
    <w:rsid w:val="007073B5"/>
    <w:rsid w:val="0071013B"/>
    <w:rsid w:val="00710963"/>
    <w:rsid w:val="00711D7A"/>
    <w:rsid w:val="00712076"/>
    <w:rsid w:val="007125DE"/>
    <w:rsid w:val="00714AF6"/>
    <w:rsid w:val="00714D0C"/>
    <w:rsid w:val="00714D6F"/>
    <w:rsid w:val="00715F87"/>
    <w:rsid w:val="00717BC1"/>
    <w:rsid w:val="00720AD4"/>
    <w:rsid w:val="00721402"/>
    <w:rsid w:val="00722E66"/>
    <w:rsid w:val="00724E0C"/>
    <w:rsid w:val="007263B4"/>
    <w:rsid w:val="00726A3B"/>
    <w:rsid w:val="00727619"/>
    <w:rsid w:val="00731096"/>
    <w:rsid w:val="00732DF8"/>
    <w:rsid w:val="00736DC7"/>
    <w:rsid w:val="00737651"/>
    <w:rsid w:val="007416A9"/>
    <w:rsid w:val="00741A5C"/>
    <w:rsid w:val="0074240F"/>
    <w:rsid w:val="00742447"/>
    <w:rsid w:val="007458BB"/>
    <w:rsid w:val="0075047C"/>
    <w:rsid w:val="00750511"/>
    <w:rsid w:val="00750EDC"/>
    <w:rsid w:val="007512C0"/>
    <w:rsid w:val="007517A3"/>
    <w:rsid w:val="007570B0"/>
    <w:rsid w:val="00757B36"/>
    <w:rsid w:val="007605EE"/>
    <w:rsid w:val="00764762"/>
    <w:rsid w:val="007665F1"/>
    <w:rsid w:val="00766B5F"/>
    <w:rsid w:val="00771952"/>
    <w:rsid w:val="00774AC3"/>
    <w:rsid w:val="00776D46"/>
    <w:rsid w:val="00776FA4"/>
    <w:rsid w:val="00780BC0"/>
    <w:rsid w:val="00781D2B"/>
    <w:rsid w:val="00784134"/>
    <w:rsid w:val="00784D8A"/>
    <w:rsid w:val="007867EC"/>
    <w:rsid w:val="00786C77"/>
    <w:rsid w:val="0078737A"/>
    <w:rsid w:val="00787E77"/>
    <w:rsid w:val="00791CC0"/>
    <w:rsid w:val="00793AD8"/>
    <w:rsid w:val="00794AB3"/>
    <w:rsid w:val="00794AFF"/>
    <w:rsid w:val="00796290"/>
    <w:rsid w:val="007979F6"/>
    <w:rsid w:val="00797C81"/>
    <w:rsid w:val="007A0759"/>
    <w:rsid w:val="007A1F44"/>
    <w:rsid w:val="007A36EE"/>
    <w:rsid w:val="007A4F96"/>
    <w:rsid w:val="007A574E"/>
    <w:rsid w:val="007A6C3B"/>
    <w:rsid w:val="007A7E32"/>
    <w:rsid w:val="007B39EE"/>
    <w:rsid w:val="007B3EE2"/>
    <w:rsid w:val="007B6268"/>
    <w:rsid w:val="007C1B31"/>
    <w:rsid w:val="007C3892"/>
    <w:rsid w:val="007C3936"/>
    <w:rsid w:val="007C4B56"/>
    <w:rsid w:val="007C4E3E"/>
    <w:rsid w:val="007C5807"/>
    <w:rsid w:val="007C680A"/>
    <w:rsid w:val="007C6AE3"/>
    <w:rsid w:val="007C76B9"/>
    <w:rsid w:val="007C7FFB"/>
    <w:rsid w:val="007D0B47"/>
    <w:rsid w:val="007D1697"/>
    <w:rsid w:val="007D4B90"/>
    <w:rsid w:val="007D594C"/>
    <w:rsid w:val="007D5E55"/>
    <w:rsid w:val="007D648B"/>
    <w:rsid w:val="007E145C"/>
    <w:rsid w:val="007E2014"/>
    <w:rsid w:val="007E25A1"/>
    <w:rsid w:val="007E2BB5"/>
    <w:rsid w:val="007E2C52"/>
    <w:rsid w:val="007E36F2"/>
    <w:rsid w:val="007E4B97"/>
    <w:rsid w:val="007E6033"/>
    <w:rsid w:val="007F00DF"/>
    <w:rsid w:val="007F2271"/>
    <w:rsid w:val="007F63B7"/>
    <w:rsid w:val="007F6807"/>
    <w:rsid w:val="007F6CE9"/>
    <w:rsid w:val="008009E6"/>
    <w:rsid w:val="008021A9"/>
    <w:rsid w:val="008104B7"/>
    <w:rsid w:val="00813A10"/>
    <w:rsid w:val="00814079"/>
    <w:rsid w:val="00817280"/>
    <w:rsid w:val="00817854"/>
    <w:rsid w:val="008225EC"/>
    <w:rsid w:val="00823E41"/>
    <w:rsid w:val="00824A00"/>
    <w:rsid w:val="00824E30"/>
    <w:rsid w:val="0082626E"/>
    <w:rsid w:val="00826CDD"/>
    <w:rsid w:val="00827BC6"/>
    <w:rsid w:val="008323AD"/>
    <w:rsid w:val="00834C65"/>
    <w:rsid w:val="00835856"/>
    <w:rsid w:val="008365D8"/>
    <w:rsid w:val="00836CDF"/>
    <w:rsid w:val="00837B57"/>
    <w:rsid w:val="00841A2F"/>
    <w:rsid w:val="00844839"/>
    <w:rsid w:val="008459F3"/>
    <w:rsid w:val="00846721"/>
    <w:rsid w:val="008467B0"/>
    <w:rsid w:val="00846FB6"/>
    <w:rsid w:val="00847256"/>
    <w:rsid w:val="00851242"/>
    <w:rsid w:val="008517CE"/>
    <w:rsid w:val="00851D90"/>
    <w:rsid w:val="00851E3F"/>
    <w:rsid w:val="00851FBA"/>
    <w:rsid w:val="00852944"/>
    <w:rsid w:val="00853A52"/>
    <w:rsid w:val="00854DED"/>
    <w:rsid w:val="00856BDD"/>
    <w:rsid w:val="00857240"/>
    <w:rsid w:val="00857441"/>
    <w:rsid w:val="00860306"/>
    <w:rsid w:val="008605D0"/>
    <w:rsid w:val="00860B21"/>
    <w:rsid w:val="00865D14"/>
    <w:rsid w:val="0086661D"/>
    <w:rsid w:val="00866674"/>
    <w:rsid w:val="00870E3B"/>
    <w:rsid w:val="0087143C"/>
    <w:rsid w:val="008717B1"/>
    <w:rsid w:val="008724B2"/>
    <w:rsid w:val="00872EF6"/>
    <w:rsid w:val="00873336"/>
    <w:rsid w:val="008748B7"/>
    <w:rsid w:val="0087525B"/>
    <w:rsid w:val="008758EB"/>
    <w:rsid w:val="00876059"/>
    <w:rsid w:val="00876D47"/>
    <w:rsid w:val="008805C1"/>
    <w:rsid w:val="00880701"/>
    <w:rsid w:val="00880C70"/>
    <w:rsid w:val="008821AB"/>
    <w:rsid w:val="00882AB6"/>
    <w:rsid w:val="0088455D"/>
    <w:rsid w:val="0089112E"/>
    <w:rsid w:val="00892C92"/>
    <w:rsid w:val="00893BF4"/>
    <w:rsid w:val="00893E35"/>
    <w:rsid w:val="00894343"/>
    <w:rsid w:val="008960A0"/>
    <w:rsid w:val="00896192"/>
    <w:rsid w:val="00896443"/>
    <w:rsid w:val="008A1F8F"/>
    <w:rsid w:val="008A2FF5"/>
    <w:rsid w:val="008A5213"/>
    <w:rsid w:val="008A567F"/>
    <w:rsid w:val="008B0789"/>
    <w:rsid w:val="008B3154"/>
    <w:rsid w:val="008B3280"/>
    <w:rsid w:val="008B3753"/>
    <w:rsid w:val="008B4DE3"/>
    <w:rsid w:val="008B5C6C"/>
    <w:rsid w:val="008B6377"/>
    <w:rsid w:val="008C0904"/>
    <w:rsid w:val="008C0C23"/>
    <w:rsid w:val="008C1DE9"/>
    <w:rsid w:val="008C426F"/>
    <w:rsid w:val="008C522C"/>
    <w:rsid w:val="008C59F5"/>
    <w:rsid w:val="008C6017"/>
    <w:rsid w:val="008D3264"/>
    <w:rsid w:val="008D420F"/>
    <w:rsid w:val="008D4841"/>
    <w:rsid w:val="008D5A6E"/>
    <w:rsid w:val="008D6999"/>
    <w:rsid w:val="008D6E7C"/>
    <w:rsid w:val="008D747C"/>
    <w:rsid w:val="008D78C7"/>
    <w:rsid w:val="008E07F4"/>
    <w:rsid w:val="008E0C51"/>
    <w:rsid w:val="008E4E23"/>
    <w:rsid w:val="008E579D"/>
    <w:rsid w:val="008E71CD"/>
    <w:rsid w:val="008E7A20"/>
    <w:rsid w:val="008F01E6"/>
    <w:rsid w:val="008F0447"/>
    <w:rsid w:val="008F3D54"/>
    <w:rsid w:val="008F407A"/>
    <w:rsid w:val="008F6C8E"/>
    <w:rsid w:val="008F7C8B"/>
    <w:rsid w:val="009014FE"/>
    <w:rsid w:val="00902069"/>
    <w:rsid w:val="0090402F"/>
    <w:rsid w:val="00904F0B"/>
    <w:rsid w:val="009053F2"/>
    <w:rsid w:val="00905C67"/>
    <w:rsid w:val="00905EE5"/>
    <w:rsid w:val="00906277"/>
    <w:rsid w:val="0090678A"/>
    <w:rsid w:val="00907B04"/>
    <w:rsid w:val="00907FC8"/>
    <w:rsid w:val="00911076"/>
    <w:rsid w:val="00911FC6"/>
    <w:rsid w:val="0091501B"/>
    <w:rsid w:val="00915A79"/>
    <w:rsid w:val="0091717F"/>
    <w:rsid w:val="00917888"/>
    <w:rsid w:val="0092415A"/>
    <w:rsid w:val="009248DB"/>
    <w:rsid w:val="00924F6B"/>
    <w:rsid w:val="00925EBF"/>
    <w:rsid w:val="00926139"/>
    <w:rsid w:val="00930AD4"/>
    <w:rsid w:val="00931120"/>
    <w:rsid w:val="009349E2"/>
    <w:rsid w:val="0093528C"/>
    <w:rsid w:val="00936865"/>
    <w:rsid w:val="0093796A"/>
    <w:rsid w:val="00940D23"/>
    <w:rsid w:val="009446CA"/>
    <w:rsid w:val="00944763"/>
    <w:rsid w:val="00953714"/>
    <w:rsid w:val="00953C13"/>
    <w:rsid w:val="00954701"/>
    <w:rsid w:val="00954EFF"/>
    <w:rsid w:val="00957E63"/>
    <w:rsid w:val="00961E17"/>
    <w:rsid w:val="00962051"/>
    <w:rsid w:val="00963DEC"/>
    <w:rsid w:val="009656D9"/>
    <w:rsid w:val="009657B1"/>
    <w:rsid w:val="00973B64"/>
    <w:rsid w:val="00975444"/>
    <w:rsid w:val="00975DC3"/>
    <w:rsid w:val="009769C9"/>
    <w:rsid w:val="00980461"/>
    <w:rsid w:val="00982ED6"/>
    <w:rsid w:val="009840A8"/>
    <w:rsid w:val="00984918"/>
    <w:rsid w:val="00985BCF"/>
    <w:rsid w:val="0098792B"/>
    <w:rsid w:val="00992E55"/>
    <w:rsid w:val="00993957"/>
    <w:rsid w:val="009943F4"/>
    <w:rsid w:val="00997600"/>
    <w:rsid w:val="00997FE9"/>
    <w:rsid w:val="009A209B"/>
    <w:rsid w:val="009A5228"/>
    <w:rsid w:val="009A65F3"/>
    <w:rsid w:val="009B0243"/>
    <w:rsid w:val="009B0361"/>
    <w:rsid w:val="009B0C1F"/>
    <w:rsid w:val="009B2BFB"/>
    <w:rsid w:val="009B2C29"/>
    <w:rsid w:val="009B378F"/>
    <w:rsid w:val="009B380C"/>
    <w:rsid w:val="009B537E"/>
    <w:rsid w:val="009B72F3"/>
    <w:rsid w:val="009C0C26"/>
    <w:rsid w:val="009C19BB"/>
    <w:rsid w:val="009C2403"/>
    <w:rsid w:val="009C40EC"/>
    <w:rsid w:val="009C4132"/>
    <w:rsid w:val="009C4873"/>
    <w:rsid w:val="009C59A9"/>
    <w:rsid w:val="009C655C"/>
    <w:rsid w:val="009C7C7D"/>
    <w:rsid w:val="009D164B"/>
    <w:rsid w:val="009D24B9"/>
    <w:rsid w:val="009D2DC4"/>
    <w:rsid w:val="009D2EE4"/>
    <w:rsid w:val="009D4282"/>
    <w:rsid w:val="009D4E89"/>
    <w:rsid w:val="009D6F78"/>
    <w:rsid w:val="009E09E1"/>
    <w:rsid w:val="009E0FC2"/>
    <w:rsid w:val="009E15E3"/>
    <w:rsid w:val="009E2268"/>
    <w:rsid w:val="009E28CB"/>
    <w:rsid w:val="009E2ACD"/>
    <w:rsid w:val="009E3EC6"/>
    <w:rsid w:val="009E4AAE"/>
    <w:rsid w:val="009E64BC"/>
    <w:rsid w:val="009E695B"/>
    <w:rsid w:val="009E73B3"/>
    <w:rsid w:val="009F1FFC"/>
    <w:rsid w:val="009F2898"/>
    <w:rsid w:val="009F304A"/>
    <w:rsid w:val="009F36F4"/>
    <w:rsid w:val="009F370B"/>
    <w:rsid w:val="009F3CBA"/>
    <w:rsid w:val="009F5640"/>
    <w:rsid w:val="009F5C69"/>
    <w:rsid w:val="009F61B4"/>
    <w:rsid w:val="009F6654"/>
    <w:rsid w:val="009F6F19"/>
    <w:rsid w:val="00A00F4F"/>
    <w:rsid w:val="00A01155"/>
    <w:rsid w:val="00A01A53"/>
    <w:rsid w:val="00A03C1F"/>
    <w:rsid w:val="00A04035"/>
    <w:rsid w:val="00A0579D"/>
    <w:rsid w:val="00A150B9"/>
    <w:rsid w:val="00A15637"/>
    <w:rsid w:val="00A201C6"/>
    <w:rsid w:val="00A201CA"/>
    <w:rsid w:val="00A20C05"/>
    <w:rsid w:val="00A22662"/>
    <w:rsid w:val="00A23C6B"/>
    <w:rsid w:val="00A24ACF"/>
    <w:rsid w:val="00A25330"/>
    <w:rsid w:val="00A2612A"/>
    <w:rsid w:val="00A26B0E"/>
    <w:rsid w:val="00A27278"/>
    <w:rsid w:val="00A3098D"/>
    <w:rsid w:val="00A31BCF"/>
    <w:rsid w:val="00A331F1"/>
    <w:rsid w:val="00A34252"/>
    <w:rsid w:val="00A35282"/>
    <w:rsid w:val="00A35F7F"/>
    <w:rsid w:val="00A40795"/>
    <w:rsid w:val="00A40837"/>
    <w:rsid w:val="00A4129B"/>
    <w:rsid w:val="00A418E8"/>
    <w:rsid w:val="00A44134"/>
    <w:rsid w:val="00A4498A"/>
    <w:rsid w:val="00A452E6"/>
    <w:rsid w:val="00A45F8C"/>
    <w:rsid w:val="00A4621B"/>
    <w:rsid w:val="00A47AF1"/>
    <w:rsid w:val="00A5034C"/>
    <w:rsid w:val="00A510C8"/>
    <w:rsid w:val="00A514FE"/>
    <w:rsid w:val="00A52412"/>
    <w:rsid w:val="00A52EBE"/>
    <w:rsid w:val="00A539B5"/>
    <w:rsid w:val="00A56609"/>
    <w:rsid w:val="00A567A8"/>
    <w:rsid w:val="00A6037C"/>
    <w:rsid w:val="00A60E68"/>
    <w:rsid w:val="00A61D1E"/>
    <w:rsid w:val="00A62839"/>
    <w:rsid w:val="00A63C73"/>
    <w:rsid w:val="00A6475E"/>
    <w:rsid w:val="00A65619"/>
    <w:rsid w:val="00A67A80"/>
    <w:rsid w:val="00A67A98"/>
    <w:rsid w:val="00A70957"/>
    <w:rsid w:val="00A71C39"/>
    <w:rsid w:val="00A72D0F"/>
    <w:rsid w:val="00A72F6B"/>
    <w:rsid w:val="00A741FA"/>
    <w:rsid w:val="00A7506C"/>
    <w:rsid w:val="00A76FC3"/>
    <w:rsid w:val="00A81B2B"/>
    <w:rsid w:val="00A83645"/>
    <w:rsid w:val="00A8474A"/>
    <w:rsid w:val="00A90D80"/>
    <w:rsid w:val="00A944CF"/>
    <w:rsid w:val="00AA00BE"/>
    <w:rsid w:val="00AA0692"/>
    <w:rsid w:val="00AA0F66"/>
    <w:rsid w:val="00AA22DB"/>
    <w:rsid w:val="00AA24B1"/>
    <w:rsid w:val="00AA2544"/>
    <w:rsid w:val="00AA373C"/>
    <w:rsid w:val="00AA5370"/>
    <w:rsid w:val="00AA572B"/>
    <w:rsid w:val="00AA5F98"/>
    <w:rsid w:val="00AA71CD"/>
    <w:rsid w:val="00AB0AF7"/>
    <w:rsid w:val="00AB1BC1"/>
    <w:rsid w:val="00AB3912"/>
    <w:rsid w:val="00AB4D2B"/>
    <w:rsid w:val="00AB73FD"/>
    <w:rsid w:val="00AC179D"/>
    <w:rsid w:val="00AC2BEB"/>
    <w:rsid w:val="00AC3381"/>
    <w:rsid w:val="00AC4D99"/>
    <w:rsid w:val="00AC509A"/>
    <w:rsid w:val="00AC5762"/>
    <w:rsid w:val="00AC5FF1"/>
    <w:rsid w:val="00AC6203"/>
    <w:rsid w:val="00AC67E3"/>
    <w:rsid w:val="00AC6AEB"/>
    <w:rsid w:val="00AC6CBE"/>
    <w:rsid w:val="00AC7AE9"/>
    <w:rsid w:val="00AD5F1D"/>
    <w:rsid w:val="00AD63BA"/>
    <w:rsid w:val="00AE21C0"/>
    <w:rsid w:val="00AE3B45"/>
    <w:rsid w:val="00AE6D45"/>
    <w:rsid w:val="00AE771C"/>
    <w:rsid w:val="00AF070E"/>
    <w:rsid w:val="00AF09C5"/>
    <w:rsid w:val="00AF4AB9"/>
    <w:rsid w:val="00B00D73"/>
    <w:rsid w:val="00B0223C"/>
    <w:rsid w:val="00B02F85"/>
    <w:rsid w:val="00B0373C"/>
    <w:rsid w:val="00B038C1"/>
    <w:rsid w:val="00B04F41"/>
    <w:rsid w:val="00B064C4"/>
    <w:rsid w:val="00B1283B"/>
    <w:rsid w:val="00B12CAE"/>
    <w:rsid w:val="00B12CFA"/>
    <w:rsid w:val="00B1496D"/>
    <w:rsid w:val="00B21015"/>
    <w:rsid w:val="00B219F6"/>
    <w:rsid w:val="00B22016"/>
    <w:rsid w:val="00B231D6"/>
    <w:rsid w:val="00B25D86"/>
    <w:rsid w:val="00B26031"/>
    <w:rsid w:val="00B2A653"/>
    <w:rsid w:val="00B32D88"/>
    <w:rsid w:val="00B35578"/>
    <w:rsid w:val="00B35A84"/>
    <w:rsid w:val="00B3631A"/>
    <w:rsid w:val="00B4038A"/>
    <w:rsid w:val="00B40ED7"/>
    <w:rsid w:val="00B41DBC"/>
    <w:rsid w:val="00B42C70"/>
    <w:rsid w:val="00B4301F"/>
    <w:rsid w:val="00B441CB"/>
    <w:rsid w:val="00B441E5"/>
    <w:rsid w:val="00B46783"/>
    <w:rsid w:val="00B47B89"/>
    <w:rsid w:val="00B47EA5"/>
    <w:rsid w:val="00B5007A"/>
    <w:rsid w:val="00B50628"/>
    <w:rsid w:val="00B55C8F"/>
    <w:rsid w:val="00B60461"/>
    <w:rsid w:val="00B61180"/>
    <w:rsid w:val="00B622B6"/>
    <w:rsid w:val="00B63B7E"/>
    <w:rsid w:val="00B66A9D"/>
    <w:rsid w:val="00B70D9B"/>
    <w:rsid w:val="00B723AD"/>
    <w:rsid w:val="00B74531"/>
    <w:rsid w:val="00B76563"/>
    <w:rsid w:val="00B76AE3"/>
    <w:rsid w:val="00B77AE4"/>
    <w:rsid w:val="00B80904"/>
    <w:rsid w:val="00B82995"/>
    <w:rsid w:val="00B82A87"/>
    <w:rsid w:val="00B84A54"/>
    <w:rsid w:val="00B85463"/>
    <w:rsid w:val="00B866B3"/>
    <w:rsid w:val="00B867F4"/>
    <w:rsid w:val="00B91E8D"/>
    <w:rsid w:val="00B94A53"/>
    <w:rsid w:val="00B96DF3"/>
    <w:rsid w:val="00BA24F0"/>
    <w:rsid w:val="00BA274B"/>
    <w:rsid w:val="00BA2955"/>
    <w:rsid w:val="00BA56A2"/>
    <w:rsid w:val="00BA5DC5"/>
    <w:rsid w:val="00BA6F78"/>
    <w:rsid w:val="00BA75C4"/>
    <w:rsid w:val="00BB033D"/>
    <w:rsid w:val="00BB0BF7"/>
    <w:rsid w:val="00BB2E1B"/>
    <w:rsid w:val="00BB2F90"/>
    <w:rsid w:val="00BB3280"/>
    <w:rsid w:val="00BB53E5"/>
    <w:rsid w:val="00BB666A"/>
    <w:rsid w:val="00BB7B3F"/>
    <w:rsid w:val="00BC1D81"/>
    <w:rsid w:val="00BC2261"/>
    <w:rsid w:val="00BC3233"/>
    <w:rsid w:val="00BC3D4B"/>
    <w:rsid w:val="00BC43A4"/>
    <w:rsid w:val="00BC4607"/>
    <w:rsid w:val="00BC5491"/>
    <w:rsid w:val="00BC66DD"/>
    <w:rsid w:val="00BC6E8C"/>
    <w:rsid w:val="00BC7463"/>
    <w:rsid w:val="00BC7DFE"/>
    <w:rsid w:val="00BD0369"/>
    <w:rsid w:val="00BD1D0F"/>
    <w:rsid w:val="00BD2546"/>
    <w:rsid w:val="00BD4947"/>
    <w:rsid w:val="00BD4BCD"/>
    <w:rsid w:val="00BD5327"/>
    <w:rsid w:val="00BD658F"/>
    <w:rsid w:val="00BE02C6"/>
    <w:rsid w:val="00BE23E9"/>
    <w:rsid w:val="00BE28DA"/>
    <w:rsid w:val="00BE332F"/>
    <w:rsid w:val="00BE4141"/>
    <w:rsid w:val="00BF2945"/>
    <w:rsid w:val="00BF4445"/>
    <w:rsid w:val="00BF449A"/>
    <w:rsid w:val="00BF4CBA"/>
    <w:rsid w:val="00BF6636"/>
    <w:rsid w:val="00BF7B37"/>
    <w:rsid w:val="00C06314"/>
    <w:rsid w:val="00C07436"/>
    <w:rsid w:val="00C07675"/>
    <w:rsid w:val="00C1027E"/>
    <w:rsid w:val="00C13094"/>
    <w:rsid w:val="00C144B2"/>
    <w:rsid w:val="00C14646"/>
    <w:rsid w:val="00C14C01"/>
    <w:rsid w:val="00C151BF"/>
    <w:rsid w:val="00C208AE"/>
    <w:rsid w:val="00C22668"/>
    <w:rsid w:val="00C25C43"/>
    <w:rsid w:val="00C268EC"/>
    <w:rsid w:val="00C273FA"/>
    <w:rsid w:val="00C27E6E"/>
    <w:rsid w:val="00C31DB2"/>
    <w:rsid w:val="00C341BD"/>
    <w:rsid w:val="00C349AE"/>
    <w:rsid w:val="00C34BFA"/>
    <w:rsid w:val="00C353CB"/>
    <w:rsid w:val="00C37A09"/>
    <w:rsid w:val="00C4020E"/>
    <w:rsid w:val="00C42926"/>
    <w:rsid w:val="00C467D1"/>
    <w:rsid w:val="00C50CD0"/>
    <w:rsid w:val="00C51342"/>
    <w:rsid w:val="00C5186C"/>
    <w:rsid w:val="00C538C8"/>
    <w:rsid w:val="00C5465D"/>
    <w:rsid w:val="00C55468"/>
    <w:rsid w:val="00C56C64"/>
    <w:rsid w:val="00C57A88"/>
    <w:rsid w:val="00C602D2"/>
    <w:rsid w:val="00C6033A"/>
    <w:rsid w:val="00C626E7"/>
    <w:rsid w:val="00C6504E"/>
    <w:rsid w:val="00C66DBE"/>
    <w:rsid w:val="00C671FB"/>
    <w:rsid w:val="00C705F5"/>
    <w:rsid w:val="00C757B4"/>
    <w:rsid w:val="00C75A51"/>
    <w:rsid w:val="00C80703"/>
    <w:rsid w:val="00C81F81"/>
    <w:rsid w:val="00C82E6D"/>
    <w:rsid w:val="00C82E92"/>
    <w:rsid w:val="00C8306D"/>
    <w:rsid w:val="00C83137"/>
    <w:rsid w:val="00C911BE"/>
    <w:rsid w:val="00C914F5"/>
    <w:rsid w:val="00C91FA9"/>
    <w:rsid w:val="00C92F46"/>
    <w:rsid w:val="00C9315D"/>
    <w:rsid w:val="00C93765"/>
    <w:rsid w:val="00C95040"/>
    <w:rsid w:val="00C9561E"/>
    <w:rsid w:val="00C95A71"/>
    <w:rsid w:val="00C95E1E"/>
    <w:rsid w:val="00C96D9B"/>
    <w:rsid w:val="00CA1B2D"/>
    <w:rsid w:val="00CA2F7A"/>
    <w:rsid w:val="00CA4821"/>
    <w:rsid w:val="00CA62DC"/>
    <w:rsid w:val="00CB1A72"/>
    <w:rsid w:val="00CB22A9"/>
    <w:rsid w:val="00CB273B"/>
    <w:rsid w:val="00CB462E"/>
    <w:rsid w:val="00CB676D"/>
    <w:rsid w:val="00CB6C5D"/>
    <w:rsid w:val="00CB6F08"/>
    <w:rsid w:val="00CB74AC"/>
    <w:rsid w:val="00CC0ACF"/>
    <w:rsid w:val="00CC32B6"/>
    <w:rsid w:val="00CC5F82"/>
    <w:rsid w:val="00CC64D0"/>
    <w:rsid w:val="00CC75FB"/>
    <w:rsid w:val="00CC7656"/>
    <w:rsid w:val="00CD050A"/>
    <w:rsid w:val="00CD19C4"/>
    <w:rsid w:val="00CD279B"/>
    <w:rsid w:val="00CD2C1D"/>
    <w:rsid w:val="00CD3221"/>
    <w:rsid w:val="00CD4386"/>
    <w:rsid w:val="00CD528D"/>
    <w:rsid w:val="00CD6170"/>
    <w:rsid w:val="00CD65FD"/>
    <w:rsid w:val="00CD7301"/>
    <w:rsid w:val="00CE0099"/>
    <w:rsid w:val="00CE014E"/>
    <w:rsid w:val="00CE16F9"/>
    <w:rsid w:val="00CE2FFB"/>
    <w:rsid w:val="00CF07C8"/>
    <w:rsid w:val="00CF0B5F"/>
    <w:rsid w:val="00CF0D3D"/>
    <w:rsid w:val="00CF2611"/>
    <w:rsid w:val="00CF29B4"/>
    <w:rsid w:val="00CF3635"/>
    <w:rsid w:val="00CF39DB"/>
    <w:rsid w:val="00CF4704"/>
    <w:rsid w:val="00CF4A07"/>
    <w:rsid w:val="00CF5589"/>
    <w:rsid w:val="00CF576A"/>
    <w:rsid w:val="00CF60CD"/>
    <w:rsid w:val="00CF61F9"/>
    <w:rsid w:val="00D00B9F"/>
    <w:rsid w:val="00D02C03"/>
    <w:rsid w:val="00D02F9B"/>
    <w:rsid w:val="00D07ABE"/>
    <w:rsid w:val="00D07EDA"/>
    <w:rsid w:val="00D1000E"/>
    <w:rsid w:val="00D10D17"/>
    <w:rsid w:val="00D132DA"/>
    <w:rsid w:val="00D16E9E"/>
    <w:rsid w:val="00D17852"/>
    <w:rsid w:val="00D201E0"/>
    <w:rsid w:val="00D2020F"/>
    <w:rsid w:val="00D21986"/>
    <w:rsid w:val="00D220B5"/>
    <w:rsid w:val="00D223D3"/>
    <w:rsid w:val="00D22725"/>
    <w:rsid w:val="00D23722"/>
    <w:rsid w:val="00D245C8"/>
    <w:rsid w:val="00D2546F"/>
    <w:rsid w:val="00D31C15"/>
    <w:rsid w:val="00D31CED"/>
    <w:rsid w:val="00D31E6F"/>
    <w:rsid w:val="00D32C53"/>
    <w:rsid w:val="00D33DB2"/>
    <w:rsid w:val="00D34D20"/>
    <w:rsid w:val="00D402E3"/>
    <w:rsid w:val="00D4078E"/>
    <w:rsid w:val="00D40888"/>
    <w:rsid w:val="00D42F0D"/>
    <w:rsid w:val="00D4308D"/>
    <w:rsid w:val="00D43BCB"/>
    <w:rsid w:val="00D44EFF"/>
    <w:rsid w:val="00D4551F"/>
    <w:rsid w:val="00D46983"/>
    <w:rsid w:val="00D46D45"/>
    <w:rsid w:val="00D47253"/>
    <w:rsid w:val="00D516B4"/>
    <w:rsid w:val="00D521DD"/>
    <w:rsid w:val="00D523BC"/>
    <w:rsid w:val="00D538DD"/>
    <w:rsid w:val="00D53D33"/>
    <w:rsid w:val="00D53DD1"/>
    <w:rsid w:val="00D54325"/>
    <w:rsid w:val="00D54326"/>
    <w:rsid w:val="00D54882"/>
    <w:rsid w:val="00D550B6"/>
    <w:rsid w:val="00D55D95"/>
    <w:rsid w:val="00D56C46"/>
    <w:rsid w:val="00D600C5"/>
    <w:rsid w:val="00D6202E"/>
    <w:rsid w:val="00D63CAF"/>
    <w:rsid w:val="00D64418"/>
    <w:rsid w:val="00D666BB"/>
    <w:rsid w:val="00D67706"/>
    <w:rsid w:val="00D67DA6"/>
    <w:rsid w:val="00D74BD1"/>
    <w:rsid w:val="00D752EE"/>
    <w:rsid w:val="00D755D8"/>
    <w:rsid w:val="00D75793"/>
    <w:rsid w:val="00D80334"/>
    <w:rsid w:val="00D805A0"/>
    <w:rsid w:val="00D80B04"/>
    <w:rsid w:val="00D811F4"/>
    <w:rsid w:val="00D82A3D"/>
    <w:rsid w:val="00D832A9"/>
    <w:rsid w:val="00D837A1"/>
    <w:rsid w:val="00D83E79"/>
    <w:rsid w:val="00D84923"/>
    <w:rsid w:val="00D906BE"/>
    <w:rsid w:val="00D90970"/>
    <w:rsid w:val="00D9337E"/>
    <w:rsid w:val="00D93DF0"/>
    <w:rsid w:val="00D94AA7"/>
    <w:rsid w:val="00D94AD4"/>
    <w:rsid w:val="00D969BA"/>
    <w:rsid w:val="00D97CB9"/>
    <w:rsid w:val="00DA1094"/>
    <w:rsid w:val="00DA2441"/>
    <w:rsid w:val="00DA359C"/>
    <w:rsid w:val="00DA381E"/>
    <w:rsid w:val="00DA3B7D"/>
    <w:rsid w:val="00DA46B2"/>
    <w:rsid w:val="00DA5B68"/>
    <w:rsid w:val="00DA5F9C"/>
    <w:rsid w:val="00DB05BA"/>
    <w:rsid w:val="00DB0CDE"/>
    <w:rsid w:val="00DB10EB"/>
    <w:rsid w:val="00DB195E"/>
    <w:rsid w:val="00DB1BA1"/>
    <w:rsid w:val="00DB24C5"/>
    <w:rsid w:val="00DB4015"/>
    <w:rsid w:val="00DB41DF"/>
    <w:rsid w:val="00DB537B"/>
    <w:rsid w:val="00DB6050"/>
    <w:rsid w:val="00DB67FB"/>
    <w:rsid w:val="00DB79BA"/>
    <w:rsid w:val="00DC061D"/>
    <w:rsid w:val="00DC0858"/>
    <w:rsid w:val="00DC0C16"/>
    <w:rsid w:val="00DC0FAC"/>
    <w:rsid w:val="00DC20F8"/>
    <w:rsid w:val="00DC2CA3"/>
    <w:rsid w:val="00DC2E1B"/>
    <w:rsid w:val="00DC34B1"/>
    <w:rsid w:val="00DD0197"/>
    <w:rsid w:val="00DD0ED2"/>
    <w:rsid w:val="00DD1124"/>
    <w:rsid w:val="00DD1AF5"/>
    <w:rsid w:val="00DD3B90"/>
    <w:rsid w:val="00DD5A74"/>
    <w:rsid w:val="00DD64AB"/>
    <w:rsid w:val="00DD6C16"/>
    <w:rsid w:val="00DE00B8"/>
    <w:rsid w:val="00DE054A"/>
    <w:rsid w:val="00DE1DB8"/>
    <w:rsid w:val="00DE39C2"/>
    <w:rsid w:val="00DE4C3E"/>
    <w:rsid w:val="00DE6290"/>
    <w:rsid w:val="00DF02B8"/>
    <w:rsid w:val="00DF083D"/>
    <w:rsid w:val="00DF17DD"/>
    <w:rsid w:val="00DF24C4"/>
    <w:rsid w:val="00DF3D91"/>
    <w:rsid w:val="00DF41E7"/>
    <w:rsid w:val="00DF44EB"/>
    <w:rsid w:val="00DF5E24"/>
    <w:rsid w:val="00DF6638"/>
    <w:rsid w:val="00DF6847"/>
    <w:rsid w:val="00DF713D"/>
    <w:rsid w:val="00DF7674"/>
    <w:rsid w:val="00E0010E"/>
    <w:rsid w:val="00E00700"/>
    <w:rsid w:val="00E02294"/>
    <w:rsid w:val="00E035B3"/>
    <w:rsid w:val="00E03958"/>
    <w:rsid w:val="00E0485B"/>
    <w:rsid w:val="00E05431"/>
    <w:rsid w:val="00E0678B"/>
    <w:rsid w:val="00E07A53"/>
    <w:rsid w:val="00E07FAF"/>
    <w:rsid w:val="00E106D4"/>
    <w:rsid w:val="00E109A6"/>
    <w:rsid w:val="00E10ABB"/>
    <w:rsid w:val="00E13383"/>
    <w:rsid w:val="00E1497D"/>
    <w:rsid w:val="00E17843"/>
    <w:rsid w:val="00E23E98"/>
    <w:rsid w:val="00E26925"/>
    <w:rsid w:val="00E26E3A"/>
    <w:rsid w:val="00E275C3"/>
    <w:rsid w:val="00E277A1"/>
    <w:rsid w:val="00E27B75"/>
    <w:rsid w:val="00E3088D"/>
    <w:rsid w:val="00E32DB0"/>
    <w:rsid w:val="00E330B4"/>
    <w:rsid w:val="00E35330"/>
    <w:rsid w:val="00E36392"/>
    <w:rsid w:val="00E36F03"/>
    <w:rsid w:val="00E36F1D"/>
    <w:rsid w:val="00E37C43"/>
    <w:rsid w:val="00E420D1"/>
    <w:rsid w:val="00E42812"/>
    <w:rsid w:val="00E44DCB"/>
    <w:rsid w:val="00E44EEA"/>
    <w:rsid w:val="00E45B43"/>
    <w:rsid w:val="00E45C3C"/>
    <w:rsid w:val="00E45E3C"/>
    <w:rsid w:val="00E517FC"/>
    <w:rsid w:val="00E51C69"/>
    <w:rsid w:val="00E525AD"/>
    <w:rsid w:val="00E530D9"/>
    <w:rsid w:val="00E5780C"/>
    <w:rsid w:val="00E57BBB"/>
    <w:rsid w:val="00E57BC8"/>
    <w:rsid w:val="00E607BE"/>
    <w:rsid w:val="00E61D6E"/>
    <w:rsid w:val="00E637B5"/>
    <w:rsid w:val="00E64BC2"/>
    <w:rsid w:val="00E64F31"/>
    <w:rsid w:val="00E6536D"/>
    <w:rsid w:val="00E66B91"/>
    <w:rsid w:val="00E67FDC"/>
    <w:rsid w:val="00E74EDD"/>
    <w:rsid w:val="00E752DE"/>
    <w:rsid w:val="00E7544E"/>
    <w:rsid w:val="00E76B13"/>
    <w:rsid w:val="00E80F6B"/>
    <w:rsid w:val="00E81C3B"/>
    <w:rsid w:val="00E85224"/>
    <w:rsid w:val="00E86073"/>
    <w:rsid w:val="00E87100"/>
    <w:rsid w:val="00E925EB"/>
    <w:rsid w:val="00E93942"/>
    <w:rsid w:val="00E94536"/>
    <w:rsid w:val="00E948C5"/>
    <w:rsid w:val="00E94E82"/>
    <w:rsid w:val="00E95701"/>
    <w:rsid w:val="00E9638D"/>
    <w:rsid w:val="00E97BF5"/>
    <w:rsid w:val="00E97EBE"/>
    <w:rsid w:val="00EA094D"/>
    <w:rsid w:val="00EA0D3C"/>
    <w:rsid w:val="00EA0E12"/>
    <w:rsid w:val="00EA4BE4"/>
    <w:rsid w:val="00EA53F9"/>
    <w:rsid w:val="00EA7124"/>
    <w:rsid w:val="00EB0091"/>
    <w:rsid w:val="00EB0196"/>
    <w:rsid w:val="00EB0572"/>
    <w:rsid w:val="00EB5583"/>
    <w:rsid w:val="00EB695B"/>
    <w:rsid w:val="00EB6B8F"/>
    <w:rsid w:val="00EC0056"/>
    <w:rsid w:val="00EC2497"/>
    <w:rsid w:val="00EC2B0D"/>
    <w:rsid w:val="00EC2CDB"/>
    <w:rsid w:val="00EC34B9"/>
    <w:rsid w:val="00EC6096"/>
    <w:rsid w:val="00EC71F1"/>
    <w:rsid w:val="00EC76B3"/>
    <w:rsid w:val="00ED032D"/>
    <w:rsid w:val="00ED23B2"/>
    <w:rsid w:val="00ED2418"/>
    <w:rsid w:val="00ED26E3"/>
    <w:rsid w:val="00ED2ACE"/>
    <w:rsid w:val="00ED3F74"/>
    <w:rsid w:val="00ED4D29"/>
    <w:rsid w:val="00ED5551"/>
    <w:rsid w:val="00ED6323"/>
    <w:rsid w:val="00ED7BD7"/>
    <w:rsid w:val="00EE4B7F"/>
    <w:rsid w:val="00EE6EF6"/>
    <w:rsid w:val="00EE7D2E"/>
    <w:rsid w:val="00EF0A4B"/>
    <w:rsid w:val="00EF15E2"/>
    <w:rsid w:val="00EF24EA"/>
    <w:rsid w:val="00EF4062"/>
    <w:rsid w:val="00F02CAE"/>
    <w:rsid w:val="00F05AFD"/>
    <w:rsid w:val="00F06E7F"/>
    <w:rsid w:val="00F078D5"/>
    <w:rsid w:val="00F10B2F"/>
    <w:rsid w:val="00F11A24"/>
    <w:rsid w:val="00F15468"/>
    <w:rsid w:val="00F17713"/>
    <w:rsid w:val="00F220CE"/>
    <w:rsid w:val="00F226B3"/>
    <w:rsid w:val="00F24734"/>
    <w:rsid w:val="00F25066"/>
    <w:rsid w:val="00F25E0E"/>
    <w:rsid w:val="00F26969"/>
    <w:rsid w:val="00F31194"/>
    <w:rsid w:val="00F315AB"/>
    <w:rsid w:val="00F33EB2"/>
    <w:rsid w:val="00F3529A"/>
    <w:rsid w:val="00F36BE8"/>
    <w:rsid w:val="00F37670"/>
    <w:rsid w:val="00F37AC2"/>
    <w:rsid w:val="00F413B2"/>
    <w:rsid w:val="00F41C6B"/>
    <w:rsid w:val="00F424AC"/>
    <w:rsid w:val="00F426C2"/>
    <w:rsid w:val="00F4540E"/>
    <w:rsid w:val="00F457BC"/>
    <w:rsid w:val="00F47CE2"/>
    <w:rsid w:val="00F50F1B"/>
    <w:rsid w:val="00F5270E"/>
    <w:rsid w:val="00F5298D"/>
    <w:rsid w:val="00F53B47"/>
    <w:rsid w:val="00F53D51"/>
    <w:rsid w:val="00F55A72"/>
    <w:rsid w:val="00F55ECE"/>
    <w:rsid w:val="00F61F6F"/>
    <w:rsid w:val="00F626A0"/>
    <w:rsid w:val="00F63C4F"/>
    <w:rsid w:val="00F63D3D"/>
    <w:rsid w:val="00F6400F"/>
    <w:rsid w:val="00F6432F"/>
    <w:rsid w:val="00F64673"/>
    <w:rsid w:val="00F6504C"/>
    <w:rsid w:val="00F654D6"/>
    <w:rsid w:val="00F6553C"/>
    <w:rsid w:val="00F65F97"/>
    <w:rsid w:val="00F670E0"/>
    <w:rsid w:val="00F70662"/>
    <w:rsid w:val="00F70E42"/>
    <w:rsid w:val="00F712DB"/>
    <w:rsid w:val="00F737F6"/>
    <w:rsid w:val="00F752D1"/>
    <w:rsid w:val="00F762CF"/>
    <w:rsid w:val="00F82465"/>
    <w:rsid w:val="00F82600"/>
    <w:rsid w:val="00F8391C"/>
    <w:rsid w:val="00F83AD8"/>
    <w:rsid w:val="00F85B0E"/>
    <w:rsid w:val="00F86FA3"/>
    <w:rsid w:val="00F9044C"/>
    <w:rsid w:val="00F92D7E"/>
    <w:rsid w:val="00F95F0E"/>
    <w:rsid w:val="00F96FFA"/>
    <w:rsid w:val="00FA0749"/>
    <w:rsid w:val="00FA0AAA"/>
    <w:rsid w:val="00FA1BCA"/>
    <w:rsid w:val="00FA1E58"/>
    <w:rsid w:val="00FA3248"/>
    <w:rsid w:val="00FA4775"/>
    <w:rsid w:val="00FA5721"/>
    <w:rsid w:val="00FA5C71"/>
    <w:rsid w:val="00FA67B0"/>
    <w:rsid w:val="00FA71C7"/>
    <w:rsid w:val="00FA7B51"/>
    <w:rsid w:val="00FB0274"/>
    <w:rsid w:val="00FB084E"/>
    <w:rsid w:val="00FB0F62"/>
    <w:rsid w:val="00FB1EC8"/>
    <w:rsid w:val="00FB57E1"/>
    <w:rsid w:val="00FB62CC"/>
    <w:rsid w:val="00FB6384"/>
    <w:rsid w:val="00FB7956"/>
    <w:rsid w:val="00FC2AA0"/>
    <w:rsid w:val="00FC3C99"/>
    <w:rsid w:val="00FC46D1"/>
    <w:rsid w:val="00FC59DB"/>
    <w:rsid w:val="00FD2269"/>
    <w:rsid w:val="00FD2607"/>
    <w:rsid w:val="00FD2A1E"/>
    <w:rsid w:val="00FD54AC"/>
    <w:rsid w:val="00FD6369"/>
    <w:rsid w:val="00FD6979"/>
    <w:rsid w:val="00FE2DA1"/>
    <w:rsid w:val="00FE3480"/>
    <w:rsid w:val="00FE4AB4"/>
    <w:rsid w:val="00FE5B81"/>
    <w:rsid w:val="00FE5E33"/>
    <w:rsid w:val="00FE690B"/>
    <w:rsid w:val="00FE7893"/>
    <w:rsid w:val="00FF0632"/>
    <w:rsid w:val="00FF128A"/>
    <w:rsid w:val="00FF1FBC"/>
    <w:rsid w:val="00FF4F38"/>
    <w:rsid w:val="00FF638E"/>
    <w:rsid w:val="00FF6B8D"/>
    <w:rsid w:val="00FF75B7"/>
    <w:rsid w:val="00FF7739"/>
    <w:rsid w:val="00FF7EC1"/>
    <w:rsid w:val="012406A5"/>
    <w:rsid w:val="013F834A"/>
    <w:rsid w:val="01634E2F"/>
    <w:rsid w:val="017CC9F8"/>
    <w:rsid w:val="017D1973"/>
    <w:rsid w:val="01F7F292"/>
    <w:rsid w:val="01FE1943"/>
    <w:rsid w:val="01FEBCD2"/>
    <w:rsid w:val="02253589"/>
    <w:rsid w:val="024D80CA"/>
    <w:rsid w:val="02665504"/>
    <w:rsid w:val="028A0C90"/>
    <w:rsid w:val="02AD952B"/>
    <w:rsid w:val="02DD0C51"/>
    <w:rsid w:val="02F27A3F"/>
    <w:rsid w:val="02F308B6"/>
    <w:rsid w:val="033D2912"/>
    <w:rsid w:val="035C10CC"/>
    <w:rsid w:val="03A646AD"/>
    <w:rsid w:val="03C9FF8F"/>
    <w:rsid w:val="03F890DC"/>
    <w:rsid w:val="054F947B"/>
    <w:rsid w:val="055B8E27"/>
    <w:rsid w:val="0561764E"/>
    <w:rsid w:val="0593391A"/>
    <w:rsid w:val="0597C41E"/>
    <w:rsid w:val="05A2CB5C"/>
    <w:rsid w:val="05C3367E"/>
    <w:rsid w:val="05C4207D"/>
    <w:rsid w:val="05D2D48E"/>
    <w:rsid w:val="05F6A7FE"/>
    <w:rsid w:val="06005D33"/>
    <w:rsid w:val="0615B88A"/>
    <w:rsid w:val="06462B8E"/>
    <w:rsid w:val="06729739"/>
    <w:rsid w:val="0688CDDF"/>
    <w:rsid w:val="06E0DE47"/>
    <w:rsid w:val="06EF9A93"/>
    <w:rsid w:val="073268A6"/>
    <w:rsid w:val="07356D31"/>
    <w:rsid w:val="074B3028"/>
    <w:rsid w:val="077AB2D4"/>
    <w:rsid w:val="078A6883"/>
    <w:rsid w:val="07C6489B"/>
    <w:rsid w:val="08705332"/>
    <w:rsid w:val="089841C2"/>
    <w:rsid w:val="08D8DF71"/>
    <w:rsid w:val="08E432A0"/>
    <w:rsid w:val="09C380A6"/>
    <w:rsid w:val="09DF1E95"/>
    <w:rsid w:val="09EDF8B1"/>
    <w:rsid w:val="09F41912"/>
    <w:rsid w:val="0A119CDC"/>
    <w:rsid w:val="0A5A3170"/>
    <w:rsid w:val="0A74F5FE"/>
    <w:rsid w:val="0AC1CA23"/>
    <w:rsid w:val="0AD5ED4B"/>
    <w:rsid w:val="0AF22A9D"/>
    <w:rsid w:val="0B22DD57"/>
    <w:rsid w:val="0B280E09"/>
    <w:rsid w:val="0B502AA3"/>
    <w:rsid w:val="0B7160E4"/>
    <w:rsid w:val="0BD79C0B"/>
    <w:rsid w:val="0BDAD5CE"/>
    <w:rsid w:val="0C04B81A"/>
    <w:rsid w:val="0C2DC486"/>
    <w:rsid w:val="0C5264DC"/>
    <w:rsid w:val="0C574047"/>
    <w:rsid w:val="0CBB2F60"/>
    <w:rsid w:val="0CC1B1E3"/>
    <w:rsid w:val="0CD0A1DD"/>
    <w:rsid w:val="0CE42067"/>
    <w:rsid w:val="0CED0235"/>
    <w:rsid w:val="0D160F27"/>
    <w:rsid w:val="0D8423CB"/>
    <w:rsid w:val="0D912CE4"/>
    <w:rsid w:val="0DB7BA26"/>
    <w:rsid w:val="0DCDB5F5"/>
    <w:rsid w:val="0E16222A"/>
    <w:rsid w:val="0E954ED8"/>
    <w:rsid w:val="0EE441EA"/>
    <w:rsid w:val="0F26AA91"/>
    <w:rsid w:val="0F3B257E"/>
    <w:rsid w:val="0F4563CE"/>
    <w:rsid w:val="0F9719F5"/>
    <w:rsid w:val="0F9DF8EB"/>
    <w:rsid w:val="0FA2C1FD"/>
    <w:rsid w:val="0FB2C15C"/>
    <w:rsid w:val="0FD3211E"/>
    <w:rsid w:val="0FEB2757"/>
    <w:rsid w:val="0FF3292C"/>
    <w:rsid w:val="0FF90132"/>
    <w:rsid w:val="1084E355"/>
    <w:rsid w:val="109DB3F7"/>
    <w:rsid w:val="10D585B8"/>
    <w:rsid w:val="1130FEEC"/>
    <w:rsid w:val="113B9C6A"/>
    <w:rsid w:val="11506860"/>
    <w:rsid w:val="1159A732"/>
    <w:rsid w:val="1197149E"/>
    <w:rsid w:val="11A687F5"/>
    <w:rsid w:val="11BCDA14"/>
    <w:rsid w:val="11EC3FD0"/>
    <w:rsid w:val="122F08B6"/>
    <w:rsid w:val="12C1623E"/>
    <w:rsid w:val="130610FF"/>
    <w:rsid w:val="13180319"/>
    <w:rsid w:val="137D566A"/>
    <w:rsid w:val="1386BCA7"/>
    <w:rsid w:val="139F56D9"/>
    <w:rsid w:val="13A929C6"/>
    <w:rsid w:val="13DA4D58"/>
    <w:rsid w:val="13E14468"/>
    <w:rsid w:val="13F9FFA5"/>
    <w:rsid w:val="13FF17F4"/>
    <w:rsid w:val="143FB892"/>
    <w:rsid w:val="146B572E"/>
    <w:rsid w:val="147E141D"/>
    <w:rsid w:val="14A968AB"/>
    <w:rsid w:val="1512ED58"/>
    <w:rsid w:val="15163AA6"/>
    <w:rsid w:val="15194D7A"/>
    <w:rsid w:val="1543E2EA"/>
    <w:rsid w:val="15B13D81"/>
    <w:rsid w:val="15CE1DBA"/>
    <w:rsid w:val="160834C6"/>
    <w:rsid w:val="16230AFF"/>
    <w:rsid w:val="1628D2F4"/>
    <w:rsid w:val="16A1C420"/>
    <w:rsid w:val="16B2AC84"/>
    <w:rsid w:val="16BD9347"/>
    <w:rsid w:val="16DF8950"/>
    <w:rsid w:val="1746B4EE"/>
    <w:rsid w:val="17748C72"/>
    <w:rsid w:val="1779516E"/>
    <w:rsid w:val="17B2DE95"/>
    <w:rsid w:val="17F773BD"/>
    <w:rsid w:val="182FF8DC"/>
    <w:rsid w:val="186CA0FA"/>
    <w:rsid w:val="1881A8BD"/>
    <w:rsid w:val="18AA3620"/>
    <w:rsid w:val="18FA3CE0"/>
    <w:rsid w:val="19203855"/>
    <w:rsid w:val="196569C2"/>
    <w:rsid w:val="198D99E5"/>
    <w:rsid w:val="19ACA544"/>
    <w:rsid w:val="1A2B0B3E"/>
    <w:rsid w:val="1AA2FCD0"/>
    <w:rsid w:val="1AC7B004"/>
    <w:rsid w:val="1ACC9AB8"/>
    <w:rsid w:val="1ADAB3D8"/>
    <w:rsid w:val="1ADC2809"/>
    <w:rsid w:val="1ADF774E"/>
    <w:rsid w:val="1B486762"/>
    <w:rsid w:val="1B55C78A"/>
    <w:rsid w:val="1BD94A23"/>
    <w:rsid w:val="1BE7E003"/>
    <w:rsid w:val="1C5DB07C"/>
    <w:rsid w:val="1D2B6E53"/>
    <w:rsid w:val="1D7B3D36"/>
    <w:rsid w:val="1DAF6CFD"/>
    <w:rsid w:val="1DC4B34E"/>
    <w:rsid w:val="1DFACE4D"/>
    <w:rsid w:val="1E24D48D"/>
    <w:rsid w:val="1E2CC6EF"/>
    <w:rsid w:val="1E4ECE32"/>
    <w:rsid w:val="1E807296"/>
    <w:rsid w:val="1E845CE2"/>
    <w:rsid w:val="1EA54705"/>
    <w:rsid w:val="1EADE02D"/>
    <w:rsid w:val="1EC2BEB5"/>
    <w:rsid w:val="1EF8737F"/>
    <w:rsid w:val="1F499106"/>
    <w:rsid w:val="1F676E1B"/>
    <w:rsid w:val="1F77BCA3"/>
    <w:rsid w:val="1F780B63"/>
    <w:rsid w:val="1FCEF7F1"/>
    <w:rsid w:val="2027560F"/>
    <w:rsid w:val="2030A5F7"/>
    <w:rsid w:val="203988F1"/>
    <w:rsid w:val="20D2294C"/>
    <w:rsid w:val="20D33B2F"/>
    <w:rsid w:val="20ED5F7B"/>
    <w:rsid w:val="210D73A0"/>
    <w:rsid w:val="21120E15"/>
    <w:rsid w:val="211BFEBB"/>
    <w:rsid w:val="211E2102"/>
    <w:rsid w:val="21224031"/>
    <w:rsid w:val="217FC524"/>
    <w:rsid w:val="21E8813F"/>
    <w:rsid w:val="21FD7B0F"/>
    <w:rsid w:val="2236E1AC"/>
    <w:rsid w:val="223702B2"/>
    <w:rsid w:val="2284107A"/>
    <w:rsid w:val="22CA4A1E"/>
    <w:rsid w:val="23172740"/>
    <w:rsid w:val="2318BCE9"/>
    <w:rsid w:val="2366043B"/>
    <w:rsid w:val="23677C7F"/>
    <w:rsid w:val="238D2DBD"/>
    <w:rsid w:val="2428892B"/>
    <w:rsid w:val="24769CB9"/>
    <w:rsid w:val="2482E2E5"/>
    <w:rsid w:val="24908837"/>
    <w:rsid w:val="24B95044"/>
    <w:rsid w:val="24D9C102"/>
    <w:rsid w:val="24EFACFA"/>
    <w:rsid w:val="252819C1"/>
    <w:rsid w:val="253F67B4"/>
    <w:rsid w:val="25787525"/>
    <w:rsid w:val="257CD5D9"/>
    <w:rsid w:val="25C24C84"/>
    <w:rsid w:val="25E7A74C"/>
    <w:rsid w:val="263252F2"/>
    <w:rsid w:val="26885574"/>
    <w:rsid w:val="26951B7C"/>
    <w:rsid w:val="269DD683"/>
    <w:rsid w:val="26A381AC"/>
    <w:rsid w:val="26DC3FC6"/>
    <w:rsid w:val="26F581C0"/>
    <w:rsid w:val="26F75ACB"/>
    <w:rsid w:val="27037307"/>
    <w:rsid w:val="270455CA"/>
    <w:rsid w:val="270CCB49"/>
    <w:rsid w:val="274F0263"/>
    <w:rsid w:val="27B6D79C"/>
    <w:rsid w:val="27C44B4C"/>
    <w:rsid w:val="28005AEF"/>
    <w:rsid w:val="2853750B"/>
    <w:rsid w:val="287723BA"/>
    <w:rsid w:val="288CFBF3"/>
    <w:rsid w:val="28AD8E96"/>
    <w:rsid w:val="28B790C1"/>
    <w:rsid w:val="28B88106"/>
    <w:rsid w:val="28CCE2F9"/>
    <w:rsid w:val="2913A491"/>
    <w:rsid w:val="2930EE57"/>
    <w:rsid w:val="2955801E"/>
    <w:rsid w:val="29EFD091"/>
    <w:rsid w:val="29F5DCD5"/>
    <w:rsid w:val="2A3F4DD3"/>
    <w:rsid w:val="2A5BAE47"/>
    <w:rsid w:val="2A676604"/>
    <w:rsid w:val="2A8631C9"/>
    <w:rsid w:val="2AA1F600"/>
    <w:rsid w:val="2AC48EA5"/>
    <w:rsid w:val="2AFDBBF0"/>
    <w:rsid w:val="2B3C60DC"/>
    <w:rsid w:val="2B43E475"/>
    <w:rsid w:val="2B455C76"/>
    <w:rsid w:val="2B5A2A99"/>
    <w:rsid w:val="2B85513E"/>
    <w:rsid w:val="2BF57BA5"/>
    <w:rsid w:val="2C067F60"/>
    <w:rsid w:val="2C522B46"/>
    <w:rsid w:val="2CDE0911"/>
    <w:rsid w:val="2D0D133D"/>
    <w:rsid w:val="2D182620"/>
    <w:rsid w:val="2D4FEC8C"/>
    <w:rsid w:val="2D7F0995"/>
    <w:rsid w:val="2D7FC896"/>
    <w:rsid w:val="2D9B53B4"/>
    <w:rsid w:val="2DA0C129"/>
    <w:rsid w:val="2DB8D863"/>
    <w:rsid w:val="2DD1B860"/>
    <w:rsid w:val="2E47BBA0"/>
    <w:rsid w:val="2E5D1DB4"/>
    <w:rsid w:val="2E6BA45F"/>
    <w:rsid w:val="2E6CCF87"/>
    <w:rsid w:val="2E812F23"/>
    <w:rsid w:val="2ED01D7F"/>
    <w:rsid w:val="2F023BD1"/>
    <w:rsid w:val="2F083AE8"/>
    <w:rsid w:val="2F27EA30"/>
    <w:rsid w:val="2F3F53B8"/>
    <w:rsid w:val="2F4104E3"/>
    <w:rsid w:val="2F6053E2"/>
    <w:rsid w:val="2FB57352"/>
    <w:rsid w:val="2FDF2EA6"/>
    <w:rsid w:val="300E5740"/>
    <w:rsid w:val="30181890"/>
    <w:rsid w:val="302E1580"/>
    <w:rsid w:val="303CC834"/>
    <w:rsid w:val="304FB12D"/>
    <w:rsid w:val="3088AD7F"/>
    <w:rsid w:val="308A6130"/>
    <w:rsid w:val="316B959B"/>
    <w:rsid w:val="320FABA6"/>
    <w:rsid w:val="3213F83C"/>
    <w:rsid w:val="321F9E8E"/>
    <w:rsid w:val="32254F5E"/>
    <w:rsid w:val="32618FB4"/>
    <w:rsid w:val="3270FA7A"/>
    <w:rsid w:val="32785A45"/>
    <w:rsid w:val="32FA7A34"/>
    <w:rsid w:val="3342F052"/>
    <w:rsid w:val="33534ED0"/>
    <w:rsid w:val="3357622C"/>
    <w:rsid w:val="336C3894"/>
    <w:rsid w:val="337C837D"/>
    <w:rsid w:val="3388D431"/>
    <w:rsid w:val="3391C084"/>
    <w:rsid w:val="341EC3C9"/>
    <w:rsid w:val="346329BE"/>
    <w:rsid w:val="34656F3D"/>
    <w:rsid w:val="347947B3"/>
    <w:rsid w:val="34EDFB4A"/>
    <w:rsid w:val="35331228"/>
    <w:rsid w:val="354DFABC"/>
    <w:rsid w:val="35562F12"/>
    <w:rsid w:val="356F5B8E"/>
    <w:rsid w:val="3593C49C"/>
    <w:rsid w:val="359CB0C3"/>
    <w:rsid w:val="360EEF23"/>
    <w:rsid w:val="362F30B0"/>
    <w:rsid w:val="365A0447"/>
    <w:rsid w:val="36A09367"/>
    <w:rsid w:val="37917F53"/>
    <w:rsid w:val="37A5D592"/>
    <w:rsid w:val="37CC74EC"/>
    <w:rsid w:val="37F07687"/>
    <w:rsid w:val="382031C7"/>
    <w:rsid w:val="389D176A"/>
    <w:rsid w:val="38DEF78A"/>
    <w:rsid w:val="3920CF4B"/>
    <w:rsid w:val="3935A030"/>
    <w:rsid w:val="3974A1D0"/>
    <w:rsid w:val="399E3802"/>
    <w:rsid w:val="39A6673E"/>
    <w:rsid w:val="39F11AF4"/>
    <w:rsid w:val="3A5D146D"/>
    <w:rsid w:val="3A6A16A5"/>
    <w:rsid w:val="3A82D353"/>
    <w:rsid w:val="3A9F55EB"/>
    <w:rsid w:val="3AA4983D"/>
    <w:rsid w:val="3AA5037A"/>
    <w:rsid w:val="3AC1A1BF"/>
    <w:rsid w:val="3AE111D3"/>
    <w:rsid w:val="3B24CF0F"/>
    <w:rsid w:val="3B3815EA"/>
    <w:rsid w:val="3B3D1542"/>
    <w:rsid w:val="3B93A24D"/>
    <w:rsid w:val="3BA9DF2F"/>
    <w:rsid w:val="3BF72766"/>
    <w:rsid w:val="3C0283D3"/>
    <w:rsid w:val="3C3421E9"/>
    <w:rsid w:val="3C835FAA"/>
    <w:rsid w:val="3C88949F"/>
    <w:rsid w:val="3C889BC5"/>
    <w:rsid w:val="3CDFA5CC"/>
    <w:rsid w:val="3D0D5B71"/>
    <w:rsid w:val="3D204F84"/>
    <w:rsid w:val="3D3AD2B7"/>
    <w:rsid w:val="3D519CC3"/>
    <w:rsid w:val="3D9806C1"/>
    <w:rsid w:val="3DB6F69E"/>
    <w:rsid w:val="3DB72518"/>
    <w:rsid w:val="3E4DA249"/>
    <w:rsid w:val="3E8AFA8E"/>
    <w:rsid w:val="3E9F9EC7"/>
    <w:rsid w:val="3ED70C77"/>
    <w:rsid w:val="3EDAB0E3"/>
    <w:rsid w:val="3EDCF957"/>
    <w:rsid w:val="3F05E7EC"/>
    <w:rsid w:val="3F21AA7C"/>
    <w:rsid w:val="3F32D228"/>
    <w:rsid w:val="3F347B7B"/>
    <w:rsid w:val="3F352C3B"/>
    <w:rsid w:val="3F7FA376"/>
    <w:rsid w:val="3F941DF4"/>
    <w:rsid w:val="3F9639A4"/>
    <w:rsid w:val="3FD9B3D7"/>
    <w:rsid w:val="400F8CA0"/>
    <w:rsid w:val="404ACCFE"/>
    <w:rsid w:val="40DD0DB7"/>
    <w:rsid w:val="415B6782"/>
    <w:rsid w:val="4197B1F9"/>
    <w:rsid w:val="41A73F47"/>
    <w:rsid w:val="41E03AD2"/>
    <w:rsid w:val="41E790AF"/>
    <w:rsid w:val="41F9D9C8"/>
    <w:rsid w:val="4293E3C5"/>
    <w:rsid w:val="42C4C6FC"/>
    <w:rsid w:val="42D1711D"/>
    <w:rsid w:val="42DFF47E"/>
    <w:rsid w:val="433981AD"/>
    <w:rsid w:val="43436888"/>
    <w:rsid w:val="434F29B1"/>
    <w:rsid w:val="43955900"/>
    <w:rsid w:val="43A7EE3C"/>
    <w:rsid w:val="43C0594B"/>
    <w:rsid w:val="43DFD0DA"/>
    <w:rsid w:val="43F75319"/>
    <w:rsid w:val="44084201"/>
    <w:rsid w:val="4411AAA8"/>
    <w:rsid w:val="447672FC"/>
    <w:rsid w:val="4499D6B6"/>
    <w:rsid w:val="449CF604"/>
    <w:rsid w:val="44BBC32E"/>
    <w:rsid w:val="44CA66B9"/>
    <w:rsid w:val="44CC21DD"/>
    <w:rsid w:val="44F87711"/>
    <w:rsid w:val="44FA1D12"/>
    <w:rsid w:val="450003FB"/>
    <w:rsid w:val="45026DD8"/>
    <w:rsid w:val="4529C9BA"/>
    <w:rsid w:val="452FB80B"/>
    <w:rsid w:val="453C0DE2"/>
    <w:rsid w:val="455DFBDD"/>
    <w:rsid w:val="457AF0DC"/>
    <w:rsid w:val="45AC1C98"/>
    <w:rsid w:val="45E243C6"/>
    <w:rsid w:val="4653D028"/>
    <w:rsid w:val="466C476B"/>
    <w:rsid w:val="4733C2C8"/>
    <w:rsid w:val="47A310AA"/>
    <w:rsid w:val="47A5631B"/>
    <w:rsid w:val="47CF7AE4"/>
    <w:rsid w:val="480327E2"/>
    <w:rsid w:val="4851F6EB"/>
    <w:rsid w:val="48D4EFCE"/>
    <w:rsid w:val="48F24330"/>
    <w:rsid w:val="48F33B44"/>
    <w:rsid w:val="492E87FE"/>
    <w:rsid w:val="4957C3C0"/>
    <w:rsid w:val="495BA59F"/>
    <w:rsid w:val="4963ECE8"/>
    <w:rsid w:val="4982652F"/>
    <w:rsid w:val="49D1E5B8"/>
    <w:rsid w:val="49EA3D68"/>
    <w:rsid w:val="49EB0B4A"/>
    <w:rsid w:val="4A05D58D"/>
    <w:rsid w:val="4A466CBB"/>
    <w:rsid w:val="4B31BC5F"/>
    <w:rsid w:val="4B48080E"/>
    <w:rsid w:val="4BA0D6CB"/>
    <w:rsid w:val="4BF6BA35"/>
    <w:rsid w:val="4C40B1E2"/>
    <w:rsid w:val="4C4FB7E6"/>
    <w:rsid w:val="4C6197FE"/>
    <w:rsid w:val="4C8258D9"/>
    <w:rsid w:val="4CE28235"/>
    <w:rsid w:val="4D04FA69"/>
    <w:rsid w:val="4D155C0E"/>
    <w:rsid w:val="4DA1FFE0"/>
    <w:rsid w:val="4DA83BF2"/>
    <w:rsid w:val="4DBA566F"/>
    <w:rsid w:val="4E2E139C"/>
    <w:rsid w:val="4E75D523"/>
    <w:rsid w:val="4EE1FEE3"/>
    <w:rsid w:val="4EF695D3"/>
    <w:rsid w:val="4F1D30F1"/>
    <w:rsid w:val="4F3D4289"/>
    <w:rsid w:val="4F5E5B14"/>
    <w:rsid w:val="4F62BCC2"/>
    <w:rsid w:val="4FB4EA39"/>
    <w:rsid w:val="4FDE81D4"/>
    <w:rsid w:val="503B29FB"/>
    <w:rsid w:val="5052BF12"/>
    <w:rsid w:val="50592A92"/>
    <w:rsid w:val="505E4FBF"/>
    <w:rsid w:val="507FA82D"/>
    <w:rsid w:val="50811D4B"/>
    <w:rsid w:val="50EF93FF"/>
    <w:rsid w:val="51042DDA"/>
    <w:rsid w:val="514B69B7"/>
    <w:rsid w:val="5166FF8A"/>
    <w:rsid w:val="51B952C6"/>
    <w:rsid w:val="51D12F42"/>
    <w:rsid w:val="51D1A32F"/>
    <w:rsid w:val="5271363F"/>
    <w:rsid w:val="529F473B"/>
    <w:rsid w:val="5359A9E0"/>
    <w:rsid w:val="5364C855"/>
    <w:rsid w:val="53C1947B"/>
    <w:rsid w:val="5405F32D"/>
    <w:rsid w:val="540D3DEC"/>
    <w:rsid w:val="5467BE90"/>
    <w:rsid w:val="54857150"/>
    <w:rsid w:val="54AA5875"/>
    <w:rsid w:val="54D35FA2"/>
    <w:rsid w:val="5565F7D8"/>
    <w:rsid w:val="556B427C"/>
    <w:rsid w:val="55720B24"/>
    <w:rsid w:val="55BDB16C"/>
    <w:rsid w:val="5602EB56"/>
    <w:rsid w:val="56462328"/>
    <w:rsid w:val="564C4AB2"/>
    <w:rsid w:val="56FDA038"/>
    <w:rsid w:val="571DE7DF"/>
    <w:rsid w:val="57316793"/>
    <w:rsid w:val="57367C60"/>
    <w:rsid w:val="57683A80"/>
    <w:rsid w:val="576ABB1B"/>
    <w:rsid w:val="579A3AF9"/>
    <w:rsid w:val="579DF6AF"/>
    <w:rsid w:val="57BD2A8E"/>
    <w:rsid w:val="581EB680"/>
    <w:rsid w:val="58250BC0"/>
    <w:rsid w:val="587CE66E"/>
    <w:rsid w:val="587D1517"/>
    <w:rsid w:val="588D6696"/>
    <w:rsid w:val="58C8EFB7"/>
    <w:rsid w:val="58E649E1"/>
    <w:rsid w:val="58F3E8FF"/>
    <w:rsid w:val="58FDBCF5"/>
    <w:rsid w:val="591991D9"/>
    <w:rsid w:val="591A9FF0"/>
    <w:rsid w:val="591E4882"/>
    <w:rsid w:val="59216141"/>
    <w:rsid w:val="592992BF"/>
    <w:rsid w:val="5941CD47"/>
    <w:rsid w:val="5A18807C"/>
    <w:rsid w:val="5A2F7D83"/>
    <w:rsid w:val="5A306C6E"/>
    <w:rsid w:val="5A3DCE9D"/>
    <w:rsid w:val="5A40FB29"/>
    <w:rsid w:val="5A41DB64"/>
    <w:rsid w:val="5A62B582"/>
    <w:rsid w:val="5A88066A"/>
    <w:rsid w:val="5AD1A87C"/>
    <w:rsid w:val="5B8AAE82"/>
    <w:rsid w:val="5BC7F86F"/>
    <w:rsid w:val="5BC837E8"/>
    <w:rsid w:val="5BED659E"/>
    <w:rsid w:val="5C2FFF68"/>
    <w:rsid w:val="5C4592CE"/>
    <w:rsid w:val="5C7D86C0"/>
    <w:rsid w:val="5CBBE29F"/>
    <w:rsid w:val="5CC7BF61"/>
    <w:rsid w:val="5D2FCBFF"/>
    <w:rsid w:val="5D34F5B6"/>
    <w:rsid w:val="5D5F2B12"/>
    <w:rsid w:val="5D61C031"/>
    <w:rsid w:val="5DE4805E"/>
    <w:rsid w:val="5E16090E"/>
    <w:rsid w:val="5E1643C0"/>
    <w:rsid w:val="5E1FFBB6"/>
    <w:rsid w:val="5E3466AD"/>
    <w:rsid w:val="5EF02612"/>
    <w:rsid w:val="5F05687F"/>
    <w:rsid w:val="5F2C1561"/>
    <w:rsid w:val="5F644D18"/>
    <w:rsid w:val="5F9D8A14"/>
    <w:rsid w:val="5FC59E9B"/>
    <w:rsid w:val="601AEAE0"/>
    <w:rsid w:val="603E42FD"/>
    <w:rsid w:val="6047195E"/>
    <w:rsid w:val="60562F4E"/>
    <w:rsid w:val="606F4F71"/>
    <w:rsid w:val="608C6DF5"/>
    <w:rsid w:val="60FFE9E6"/>
    <w:rsid w:val="612D6325"/>
    <w:rsid w:val="6135820B"/>
    <w:rsid w:val="61428829"/>
    <w:rsid w:val="61630BCD"/>
    <w:rsid w:val="61B61434"/>
    <w:rsid w:val="61CBBD45"/>
    <w:rsid w:val="62DAA0AE"/>
    <w:rsid w:val="633122E0"/>
    <w:rsid w:val="635689A3"/>
    <w:rsid w:val="6379304F"/>
    <w:rsid w:val="63826E9A"/>
    <w:rsid w:val="63927D42"/>
    <w:rsid w:val="6424465F"/>
    <w:rsid w:val="645CAF7C"/>
    <w:rsid w:val="64632909"/>
    <w:rsid w:val="649C306A"/>
    <w:rsid w:val="64CF10B0"/>
    <w:rsid w:val="6530C369"/>
    <w:rsid w:val="6533F8E5"/>
    <w:rsid w:val="655994CE"/>
    <w:rsid w:val="6575A9EE"/>
    <w:rsid w:val="65B71336"/>
    <w:rsid w:val="65BBBF8E"/>
    <w:rsid w:val="65DE6CD7"/>
    <w:rsid w:val="6638EAFD"/>
    <w:rsid w:val="66466DB9"/>
    <w:rsid w:val="6667B62E"/>
    <w:rsid w:val="66FD34EF"/>
    <w:rsid w:val="678A3D9B"/>
    <w:rsid w:val="67C3E972"/>
    <w:rsid w:val="67EC8958"/>
    <w:rsid w:val="681E68B1"/>
    <w:rsid w:val="681E9679"/>
    <w:rsid w:val="68443DB5"/>
    <w:rsid w:val="68459E0C"/>
    <w:rsid w:val="68C9E6A0"/>
    <w:rsid w:val="68CC8B92"/>
    <w:rsid w:val="68D1A517"/>
    <w:rsid w:val="69BC46D4"/>
    <w:rsid w:val="69D2BC91"/>
    <w:rsid w:val="69D713B7"/>
    <w:rsid w:val="69DBC25A"/>
    <w:rsid w:val="6A5AE7A6"/>
    <w:rsid w:val="6A63A2B1"/>
    <w:rsid w:val="6A722B5D"/>
    <w:rsid w:val="6A766E23"/>
    <w:rsid w:val="6AFD1B26"/>
    <w:rsid w:val="6B18E0EF"/>
    <w:rsid w:val="6B37CF75"/>
    <w:rsid w:val="6B7D5987"/>
    <w:rsid w:val="6B81D5FE"/>
    <w:rsid w:val="6B88A8B8"/>
    <w:rsid w:val="6BAE7522"/>
    <w:rsid w:val="6BC404D5"/>
    <w:rsid w:val="6BE95F3C"/>
    <w:rsid w:val="6C2E515A"/>
    <w:rsid w:val="6C408584"/>
    <w:rsid w:val="6C58BF86"/>
    <w:rsid w:val="6C5FBE60"/>
    <w:rsid w:val="6C6E57FA"/>
    <w:rsid w:val="6C8C4AC1"/>
    <w:rsid w:val="6CB6EED8"/>
    <w:rsid w:val="6CBA4815"/>
    <w:rsid w:val="6CBD7BA5"/>
    <w:rsid w:val="6CCFEFA3"/>
    <w:rsid w:val="6D5E3371"/>
    <w:rsid w:val="6D667690"/>
    <w:rsid w:val="6D8AEED1"/>
    <w:rsid w:val="6E025693"/>
    <w:rsid w:val="6E2F26E0"/>
    <w:rsid w:val="6E319E7E"/>
    <w:rsid w:val="6E47BED7"/>
    <w:rsid w:val="6E66476B"/>
    <w:rsid w:val="6EB1CBE6"/>
    <w:rsid w:val="6EE26F80"/>
    <w:rsid w:val="6EEC8677"/>
    <w:rsid w:val="6EF45358"/>
    <w:rsid w:val="6F0D4303"/>
    <w:rsid w:val="6F56E505"/>
    <w:rsid w:val="6F596E40"/>
    <w:rsid w:val="6F735D91"/>
    <w:rsid w:val="6F94AB4E"/>
    <w:rsid w:val="6FB03646"/>
    <w:rsid w:val="6FBA15CB"/>
    <w:rsid w:val="6FCECA27"/>
    <w:rsid w:val="700FD068"/>
    <w:rsid w:val="706CAF56"/>
    <w:rsid w:val="707A0403"/>
    <w:rsid w:val="709F1072"/>
    <w:rsid w:val="70C6D9D8"/>
    <w:rsid w:val="70ED1D90"/>
    <w:rsid w:val="70EDF3BA"/>
    <w:rsid w:val="70F809F2"/>
    <w:rsid w:val="70FE02B1"/>
    <w:rsid w:val="71262450"/>
    <w:rsid w:val="7181A58C"/>
    <w:rsid w:val="71B52C98"/>
    <w:rsid w:val="71C46753"/>
    <w:rsid w:val="71FE93A2"/>
    <w:rsid w:val="72388A4E"/>
    <w:rsid w:val="725E0920"/>
    <w:rsid w:val="725E1305"/>
    <w:rsid w:val="7272F846"/>
    <w:rsid w:val="7296318A"/>
    <w:rsid w:val="73798FF9"/>
    <w:rsid w:val="7393C338"/>
    <w:rsid w:val="73CB52B8"/>
    <w:rsid w:val="73D2EDA3"/>
    <w:rsid w:val="74520AFD"/>
    <w:rsid w:val="746D4CAD"/>
    <w:rsid w:val="74C31D92"/>
    <w:rsid w:val="74D44D9B"/>
    <w:rsid w:val="74E860FB"/>
    <w:rsid w:val="75108CED"/>
    <w:rsid w:val="7537906A"/>
    <w:rsid w:val="75465A2A"/>
    <w:rsid w:val="75C923F2"/>
    <w:rsid w:val="75D7DE8B"/>
    <w:rsid w:val="75F9B794"/>
    <w:rsid w:val="76273CCB"/>
    <w:rsid w:val="768317E3"/>
    <w:rsid w:val="769994DF"/>
    <w:rsid w:val="76CAE9C3"/>
    <w:rsid w:val="76F2C4D8"/>
    <w:rsid w:val="77081D39"/>
    <w:rsid w:val="7714B9B6"/>
    <w:rsid w:val="77483898"/>
    <w:rsid w:val="778D4838"/>
    <w:rsid w:val="77A69060"/>
    <w:rsid w:val="77AF1434"/>
    <w:rsid w:val="77BDEDB9"/>
    <w:rsid w:val="78089CA0"/>
    <w:rsid w:val="781D947F"/>
    <w:rsid w:val="781FB9D1"/>
    <w:rsid w:val="7879F77D"/>
    <w:rsid w:val="79203A77"/>
    <w:rsid w:val="7921940C"/>
    <w:rsid w:val="795CF876"/>
    <w:rsid w:val="7966B19C"/>
    <w:rsid w:val="79729BF6"/>
    <w:rsid w:val="799E5291"/>
    <w:rsid w:val="79BA95AA"/>
    <w:rsid w:val="79CA3DAE"/>
    <w:rsid w:val="79CE7EC1"/>
    <w:rsid w:val="7A26A09B"/>
    <w:rsid w:val="7A6D8735"/>
    <w:rsid w:val="7A9FE98B"/>
    <w:rsid w:val="7AAC7168"/>
    <w:rsid w:val="7AC23593"/>
    <w:rsid w:val="7AC3893B"/>
    <w:rsid w:val="7AD28EEE"/>
    <w:rsid w:val="7AE827B8"/>
    <w:rsid w:val="7B2E83B3"/>
    <w:rsid w:val="7B42311F"/>
    <w:rsid w:val="7B54F58D"/>
    <w:rsid w:val="7B72C9E4"/>
    <w:rsid w:val="7B9C2921"/>
    <w:rsid w:val="7C3A7556"/>
    <w:rsid w:val="7CADC1DB"/>
    <w:rsid w:val="7CD41DD3"/>
    <w:rsid w:val="7D21B15D"/>
    <w:rsid w:val="7D686E27"/>
    <w:rsid w:val="7DDB475A"/>
    <w:rsid w:val="7DF0265A"/>
    <w:rsid w:val="7E27E9A0"/>
    <w:rsid w:val="7E52BE0A"/>
    <w:rsid w:val="7E670DE8"/>
    <w:rsid w:val="7E6BABC7"/>
    <w:rsid w:val="7ECA2A0B"/>
    <w:rsid w:val="7EE1BD0E"/>
    <w:rsid w:val="7EF0741F"/>
    <w:rsid w:val="7F2980C1"/>
    <w:rsid w:val="7F7B11E9"/>
    <w:rsid w:val="7FC4877C"/>
    <w:rsid w:val="7FD740B6"/>
    <w:rsid w:val="7FE72968"/>
    <w:rsid w:val="7FF231E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9C4308"/>
  <w15:docId w15:val="{5E80C5E8-C916-4DAD-9833-71519BB61D1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B3753"/>
  </w:style>
  <w:style w:type="paragraph" w:styleId="Ttulo1">
    <w:name w:val="heading 1"/>
    <w:basedOn w:val="Normal"/>
    <w:next w:val="Normal"/>
    <w:link w:val="Ttulo1Car"/>
    <w:uiPriority w:val="9"/>
    <w:qFormat/>
    <w:rsid w:val="00C66DBE"/>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Ttulo2">
    <w:name w:val="heading 2"/>
    <w:link w:val="Ttulo2Car"/>
    <w:uiPriority w:val="9"/>
    <w:unhideWhenUsed/>
    <w:qFormat/>
    <w:rsid w:val="006E0D73"/>
    <w:pPr>
      <w:spacing w:before="200" w:after="120" w:line="240" w:lineRule="auto"/>
      <w:outlineLvl w:val="1"/>
    </w:pPr>
    <w:rPr>
      <w:rFonts w:ascii="Arial" w:hAnsi="Arial" w:eastAsia="Arial" w:cs="Arial"/>
      <w:b/>
      <w:bCs/>
      <w:kern w:val="0"/>
      <w:sz w:val="24"/>
      <w:szCs w:val="24"/>
      <w:lang w:eastAsia="es-CO"/>
    </w:rPr>
  </w:style>
  <w:style w:type="paragraph" w:styleId="Ttulo3">
    <w:name w:val="heading 3"/>
    <w:basedOn w:val="Normal"/>
    <w:next w:val="Normal"/>
    <w:link w:val="Ttulo3Car"/>
    <w:uiPriority w:val="9"/>
    <w:semiHidden/>
    <w:unhideWhenUsed/>
    <w:qFormat/>
    <w:rsid w:val="006E730D"/>
    <w:pPr>
      <w:keepNext/>
      <w:keepLines/>
      <w:spacing w:before="40" w:after="0"/>
      <w:outlineLvl w:val="2"/>
    </w:pPr>
    <w:rPr>
      <w:rFonts w:asciiTheme="majorHAnsi" w:hAnsiTheme="majorHAnsi" w:eastAsiaTheme="majorEastAsia" w:cstheme="majorBidi"/>
      <w:color w:val="1F3763" w:themeColor="accent1" w:themeShade="7F"/>
      <w:sz w:val="24"/>
      <w:szCs w:val="24"/>
    </w:rPr>
  </w:style>
  <w:style w:type="paragraph" w:styleId="Ttulo4">
    <w:name w:val="heading 4"/>
    <w:basedOn w:val="Normal"/>
    <w:next w:val="Normal"/>
    <w:link w:val="Ttulo4Car"/>
    <w:uiPriority w:val="9"/>
    <w:semiHidden/>
    <w:unhideWhenUsed/>
    <w:qFormat/>
    <w:rsid w:val="0087143C"/>
    <w:pPr>
      <w:keepNext/>
      <w:tabs>
        <w:tab w:val="num" w:pos="2880"/>
      </w:tabs>
      <w:spacing w:before="240" w:after="60" w:line="240" w:lineRule="auto"/>
      <w:ind w:left="2880" w:hanging="720"/>
      <w:outlineLvl w:val="3"/>
    </w:pPr>
    <w:rPr>
      <w:rFonts w:eastAsiaTheme="minorEastAsia"/>
      <w:b/>
      <w:bCs/>
      <w:kern w:val="0"/>
      <w:sz w:val="28"/>
      <w:szCs w:val="28"/>
      <w:lang w:val="en-US"/>
      <w14:ligatures w14:val="none"/>
    </w:rPr>
  </w:style>
  <w:style w:type="paragraph" w:styleId="Ttulo5">
    <w:name w:val="heading 5"/>
    <w:basedOn w:val="Normal"/>
    <w:next w:val="Normal"/>
    <w:link w:val="Ttulo5Car"/>
    <w:uiPriority w:val="9"/>
    <w:semiHidden/>
    <w:unhideWhenUsed/>
    <w:qFormat/>
    <w:rsid w:val="0087143C"/>
    <w:pPr>
      <w:tabs>
        <w:tab w:val="num" w:pos="3600"/>
      </w:tabs>
      <w:spacing w:before="240" w:after="60" w:line="240" w:lineRule="auto"/>
      <w:ind w:left="3600" w:hanging="720"/>
      <w:outlineLvl w:val="4"/>
    </w:pPr>
    <w:rPr>
      <w:rFonts w:eastAsiaTheme="minorEastAsia"/>
      <w:b/>
      <w:bCs/>
      <w:i/>
      <w:iCs/>
      <w:kern w:val="0"/>
      <w:sz w:val="26"/>
      <w:szCs w:val="26"/>
      <w:lang w:val="en-US"/>
      <w14:ligatures w14:val="none"/>
    </w:rPr>
  </w:style>
  <w:style w:type="paragraph" w:styleId="Ttulo6">
    <w:name w:val="heading 6"/>
    <w:basedOn w:val="Normal"/>
    <w:next w:val="Normal"/>
    <w:link w:val="Ttulo6Car"/>
    <w:uiPriority w:val="9"/>
    <w:qFormat/>
    <w:rsid w:val="0087143C"/>
    <w:pPr>
      <w:tabs>
        <w:tab w:val="num" w:pos="4320"/>
      </w:tabs>
      <w:spacing w:before="240" w:after="60" w:line="240" w:lineRule="auto"/>
      <w:ind w:left="4320" w:hanging="720"/>
      <w:outlineLvl w:val="5"/>
    </w:pPr>
    <w:rPr>
      <w:rFonts w:ascii="Times New Roman" w:hAnsi="Times New Roman" w:eastAsia="Times New Roman" w:cs="Times New Roman"/>
      <w:b/>
      <w:bCs/>
      <w:kern w:val="0"/>
      <w:lang w:val="en-US"/>
      <w14:ligatures w14:val="none"/>
    </w:rPr>
  </w:style>
  <w:style w:type="paragraph" w:styleId="Ttulo7">
    <w:name w:val="heading 7"/>
    <w:basedOn w:val="Normal"/>
    <w:next w:val="Normal"/>
    <w:link w:val="Ttulo7Car"/>
    <w:uiPriority w:val="9"/>
    <w:semiHidden/>
    <w:unhideWhenUsed/>
    <w:qFormat/>
    <w:rsid w:val="0087143C"/>
    <w:pPr>
      <w:tabs>
        <w:tab w:val="num" w:pos="5040"/>
      </w:tabs>
      <w:spacing w:before="240" w:after="60" w:line="240" w:lineRule="auto"/>
      <w:ind w:left="5040" w:hanging="720"/>
      <w:outlineLvl w:val="6"/>
    </w:pPr>
    <w:rPr>
      <w:rFonts w:eastAsiaTheme="minorEastAsia"/>
      <w:kern w:val="0"/>
      <w:sz w:val="24"/>
      <w:szCs w:val="24"/>
      <w:lang w:val="en-US"/>
      <w14:ligatures w14:val="none"/>
    </w:rPr>
  </w:style>
  <w:style w:type="paragraph" w:styleId="Ttulo8">
    <w:name w:val="heading 8"/>
    <w:basedOn w:val="Normal"/>
    <w:next w:val="Normal"/>
    <w:link w:val="Ttulo8Car"/>
    <w:uiPriority w:val="9"/>
    <w:semiHidden/>
    <w:unhideWhenUsed/>
    <w:qFormat/>
    <w:rsid w:val="0087143C"/>
    <w:pPr>
      <w:tabs>
        <w:tab w:val="num" w:pos="5760"/>
      </w:tabs>
      <w:spacing w:before="240" w:after="60" w:line="240" w:lineRule="auto"/>
      <w:ind w:left="5760" w:hanging="720"/>
      <w:outlineLvl w:val="7"/>
    </w:pPr>
    <w:rPr>
      <w:rFonts w:eastAsiaTheme="minorEastAsia"/>
      <w:i/>
      <w:iCs/>
      <w:kern w:val="0"/>
      <w:sz w:val="24"/>
      <w:szCs w:val="24"/>
      <w:lang w:val="en-US"/>
      <w14:ligatures w14:val="none"/>
    </w:rPr>
  </w:style>
  <w:style w:type="paragraph" w:styleId="Ttulo9">
    <w:name w:val="heading 9"/>
    <w:basedOn w:val="Normal"/>
    <w:next w:val="Normal"/>
    <w:link w:val="Ttulo9Car"/>
    <w:uiPriority w:val="9"/>
    <w:semiHidden/>
    <w:unhideWhenUsed/>
    <w:qFormat/>
    <w:rsid w:val="0087143C"/>
    <w:pPr>
      <w:tabs>
        <w:tab w:val="num" w:pos="6480"/>
      </w:tabs>
      <w:spacing w:before="240" w:after="60" w:line="240" w:lineRule="auto"/>
      <w:ind w:left="6480" w:hanging="720"/>
      <w:outlineLvl w:val="8"/>
    </w:pPr>
    <w:rPr>
      <w:rFonts w:asciiTheme="majorHAnsi" w:hAnsiTheme="majorHAnsi" w:eastAsiaTheme="majorEastAsia" w:cstheme="majorBidi"/>
      <w:kern w:val="0"/>
      <w:lang w:val="en-US"/>
      <w14:ligatures w14:val="none"/>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spacing w:after="0" w:line="240" w:lineRule="auto"/>
    </w:pPr>
  </w:style>
  <w:style w:type="character" w:styleId="EncabezadoCar" w:customStyle="1">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spacing w:after="0" w:line="240" w:lineRule="auto"/>
    </w:pPr>
  </w:style>
  <w:style w:type="character" w:styleId="PiedepginaCar" w:customStyle="1">
    <w:name w:val="Pie de página Car"/>
    <w:basedOn w:val="Fuentedeprrafopredeter"/>
    <w:link w:val="Piedepgina"/>
    <w:uiPriority w:val="99"/>
    <w:rsid w:val="00757B36"/>
  </w:style>
  <w:style w:type="character" w:styleId="Hipervnculo">
    <w:name w:val="Hyperlink"/>
    <w:basedOn w:val="Fuentedeprrafopredeter"/>
    <w:uiPriority w:val="99"/>
    <w:unhideWhenUsed/>
    <w:rsid w:val="00757B36"/>
    <w:rPr>
      <w:color w:val="0563C1" w:themeColor="hyperlink"/>
      <w:u w:val="single"/>
    </w:rPr>
  </w:style>
  <w:style w:type="character" w:styleId="Mencinsinresolver1" w:customStyle="1">
    <w:name w:val="Mención sin resolver1"/>
    <w:basedOn w:val="Fuentedeprrafopredeter"/>
    <w:uiPriority w:val="99"/>
    <w:semiHidden/>
    <w:unhideWhenUsed/>
    <w:rsid w:val="00757B36"/>
    <w:rPr>
      <w:color w:val="605E5C"/>
      <w:shd w:val="clear" w:color="auto" w:fill="E1DFDD"/>
    </w:rPr>
  </w:style>
  <w:style w:type="paragraph" w:styleId="Prrafodelista">
    <w:name w:val="List Paragraph"/>
    <w:basedOn w:val="Normal"/>
    <w:uiPriority w:val="34"/>
    <w:qFormat/>
    <w:rsid w:val="00757B36"/>
    <w:pPr>
      <w:ind w:left="720"/>
      <w:contextualSpacing/>
    </w:pPr>
  </w:style>
  <w:style w:type="character" w:styleId="Mencinsinresolver">
    <w:name w:val="Unresolved Mention"/>
    <w:basedOn w:val="Fuentedeprrafopredeter"/>
    <w:uiPriority w:val="99"/>
    <w:semiHidden/>
    <w:unhideWhenUsed/>
    <w:rsid w:val="00570EE4"/>
    <w:rPr>
      <w:color w:val="605E5C"/>
      <w:shd w:val="clear" w:color="auto" w:fill="E1DFDD"/>
    </w:rPr>
  </w:style>
  <w:style w:type="paragraph" w:styleId="Textonotapie">
    <w:name w:val="footnote text"/>
    <w:basedOn w:val="Normal"/>
    <w:link w:val="TextonotapieCar"/>
    <w:uiPriority w:val="99"/>
    <w:semiHidden/>
    <w:unhideWhenUsed/>
    <w:rsid w:val="00A83645"/>
    <w:pPr>
      <w:spacing w:after="0" w:line="240" w:lineRule="auto"/>
    </w:pPr>
    <w:rPr>
      <w:sz w:val="20"/>
      <w:szCs w:val="20"/>
    </w:rPr>
  </w:style>
  <w:style w:type="character" w:styleId="TextonotapieCar" w:customStyle="1">
    <w:name w:val="Texto nota pie Car"/>
    <w:basedOn w:val="Fuentedeprrafopredeter"/>
    <w:link w:val="Textonotapie"/>
    <w:uiPriority w:val="99"/>
    <w:semiHidden/>
    <w:rsid w:val="00A83645"/>
    <w:rPr>
      <w:sz w:val="20"/>
      <w:szCs w:val="20"/>
    </w:rPr>
  </w:style>
  <w:style w:type="character" w:styleId="Refdenotaalpie">
    <w:name w:val="footnote reference"/>
    <w:basedOn w:val="Fuentedeprrafopredeter"/>
    <w:uiPriority w:val="99"/>
    <w:semiHidden/>
    <w:unhideWhenUsed/>
    <w:rsid w:val="00A83645"/>
    <w:rPr>
      <w:vertAlign w:val="superscript"/>
    </w:rPr>
  </w:style>
  <w:style w:type="character" w:styleId="Refdecomentario">
    <w:name w:val="annotation reference"/>
    <w:basedOn w:val="Fuentedeprrafopredeter"/>
    <w:uiPriority w:val="99"/>
    <w:semiHidden/>
    <w:unhideWhenUsed/>
    <w:rsid w:val="00E87100"/>
    <w:rPr>
      <w:sz w:val="16"/>
      <w:szCs w:val="16"/>
    </w:rPr>
  </w:style>
  <w:style w:type="paragraph" w:styleId="Textocomentario">
    <w:name w:val="annotation text"/>
    <w:basedOn w:val="Normal"/>
    <w:link w:val="TextocomentarioCar"/>
    <w:uiPriority w:val="99"/>
    <w:unhideWhenUsed/>
    <w:rsid w:val="00E87100"/>
    <w:pPr>
      <w:spacing w:line="240" w:lineRule="auto"/>
    </w:pPr>
    <w:rPr>
      <w:sz w:val="20"/>
      <w:szCs w:val="20"/>
    </w:rPr>
  </w:style>
  <w:style w:type="character" w:styleId="TextocomentarioCar" w:customStyle="1">
    <w:name w:val="Texto comentario Car"/>
    <w:basedOn w:val="Fuentedeprrafopredeter"/>
    <w:link w:val="Textocomentario"/>
    <w:uiPriority w:val="99"/>
    <w:rsid w:val="00E87100"/>
    <w:rPr>
      <w:sz w:val="20"/>
      <w:szCs w:val="20"/>
    </w:rPr>
  </w:style>
  <w:style w:type="paragraph" w:styleId="Asuntodelcomentario">
    <w:name w:val="annotation subject"/>
    <w:basedOn w:val="Textocomentario"/>
    <w:next w:val="Textocomentario"/>
    <w:link w:val="AsuntodelcomentarioCar"/>
    <w:uiPriority w:val="99"/>
    <w:semiHidden/>
    <w:unhideWhenUsed/>
    <w:rsid w:val="00E87100"/>
    <w:rPr>
      <w:b/>
      <w:bCs/>
    </w:rPr>
  </w:style>
  <w:style w:type="character" w:styleId="AsuntodelcomentarioCar" w:customStyle="1">
    <w:name w:val="Asunto del comentario Car"/>
    <w:basedOn w:val="TextocomentarioCar"/>
    <w:link w:val="Asuntodelcomentario"/>
    <w:uiPriority w:val="99"/>
    <w:semiHidden/>
    <w:rsid w:val="00E87100"/>
    <w:rPr>
      <w:b/>
      <w:bCs/>
      <w:sz w:val="20"/>
      <w:szCs w:val="20"/>
    </w:rPr>
  </w:style>
  <w:style w:type="table" w:styleId="Tablaconcuadrcula">
    <w:name w:val="Table Grid"/>
    <w:basedOn w:val="Tablanormal"/>
    <w:uiPriority w:val="39"/>
    <w:rsid w:val="008B3154"/>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 w:customStyle="1">
    <w:name w:val="paragraph"/>
    <w:basedOn w:val="Normal"/>
    <w:rsid w:val="00B70D9B"/>
    <w:pPr>
      <w:spacing w:before="100" w:beforeAutospacing="1" w:after="100" w:afterAutospacing="1" w:line="240" w:lineRule="auto"/>
    </w:pPr>
    <w:rPr>
      <w:rFonts w:ascii="Times New Roman" w:hAnsi="Times New Roman" w:eastAsia="Times New Roman" w:cs="Times New Roman"/>
      <w:kern w:val="0"/>
      <w:sz w:val="24"/>
      <w:szCs w:val="24"/>
      <w:lang w:eastAsia="es-MX"/>
    </w:rPr>
  </w:style>
  <w:style w:type="character" w:styleId="normaltextrun" w:customStyle="1">
    <w:name w:val="normaltextrun"/>
    <w:basedOn w:val="Fuentedeprrafopredeter"/>
    <w:rsid w:val="00B70D9B"/>
  </w:style>
  <w:style w:type="character" w:styleId="eop" w:customStyle="1">
    <w:name w:val="eop"/>
    <w:basedOn w:val="Fuentedeprrafopredeter"/>
    <w:rsid w:val="00B70D9B"/>
  </w:style>
  <w:style w:type="character" w:styleId="superscript" w:customStyle="1">
    <w:name w:val="superscript"/>
    <w:basedOn w:val="Fuentedeprrafopredeter"/>
    <w:rsid w:val="00E0010E"/>
  </w:style>
  <w:style w:type="character" w:styleId="apple-converted-space" w:customStyle="1">
    <w:name w:val="apple-converted-space"/>
    <w:basedOn w:val="Fuentedeprrafopredeter"/>
    <w:rsid w:val="0030479C"/>
  </w:style>
  <w:style w:type="character" w:styleId="Textoennegrita">
    <w:name w:val="Strong"/>
    <w:basedOn w:val="Fuentedeprrafopredeter"/>
    <w:uiPriority w:val="22"/>
    <w:qFormat/>
    <w:rsid w:val="0030479C"/>
    <w:rPr>
      <w:b/>
      <w:bCs/>
    </w:rPr>
  </w:style>
  <w:style w:type="paragraph" w:styleId="NormalWeb">
    <w:name w:val="Normal (Web)"/>
    <w:basedOn w:val="Normal"/>
    <w:uiPriority w:val="99"/>
    <w:unhideWhenUsed/>
    <w:rsid w:val="006C231C"/>
    <w:pPr>
      <w:spacing w:before="100" w:beforeAutospacing="1" w:after="100" w:afterAutospacing="1" w:line="240" w:lineRule="auto"/>
    </w:pPr>
    <w:rPr>
      <w:rFonts w:ascii="Times New Roman" w:hAnsi="Times New Roman" w:eastAsia="Times New Roman" w:cs="Times New Roman"/>
      <w:kern w:val="0"/>
      <w:sz w:val="24"/>
      <w:szCs w:val="24"/>
      <w:lang w:eastAsia="es-MX"/>
    </w:rPr>
  </w:style>
  <w:style w:type="character" w:styleId="nfasis">
    <w:name w:val="Emphasis"/>
    <w:basedOn w:val="Fuentedeprrafopredeter"/>
    <w:uiPriority w:val="20"/>
    <w:qFormat/>
    <w:rsid w:val="006C231C"/>
    <w:rPr>
      <w:i/>
      <w:iCs/>
    </w:rPr>
  </w:style>
  <w:style w:type="character" w:styleId="Ttulo2Car" w:customStyle="1">
    <w:name w:val="Título 2 Car"/>
    <w:basedOn w:val="Fuentedeprrafopredeter"/>
    <w:link w:val="Ttulo2"/>
    <w:uiPriority w:val="9"/>
    <w:rsid w:val="006E0D73"/>
    <w:rPr>
      <w:rFonts w:ascii="Arial" w:hAnsi="Arial" w:eastAsia="Arial" w:cs="Arial"/>
      <w:b/>
      <w:bCs/>
      <w:kern w:val="0"/>
      <w:sz w:val="24"/>
      <w:szCs w:val="24"/>
      <w:lang w:eastAsia="es-CO"/>
    </w:rPr>
  </w:style>
  <w:style w:type="character" w:styleId="Ttulo1Car" w:customStyle="1">
    <w:name w:val="Título 1 Car"/>
    <w:basedOn w:val="Fuentedeprrafopredeter"/>
    <w:link w:val="Ttulo1"/>
    <w:uiPriority w:val="9"/>
    <w:rsid w:val="00C66DBE"/>
    <w:rPr>
      <w:rFonts w:asciiTheme="majorHAnsi" w:hAnsiTheme="majorHAnsi" w:eastAsiaTheme="majorEastAsia" w:cstheme="majorBidi"/>
      <w:color w:val="2F5496" w:themeColor="accent1" w:themeShade="BF"/>
      <w:sz w:val="32"/>
      <w:szCs w:val="32"/>
    </w:rPr>
  </w:style>
  <w:style w:type="character" w:styleId="Ttulo3Car" w:customStyle="1">
    <w:name w:val="Título 3 Car"/>
    <w:basedOn w:val="Fuentedeprrafopredeter"/>
    <w:link w:val="Ttulo3"/>
    <w:uiPriority w:val="9"/>
    <w:semiHidden/>
    <w:rsid w:val="006E730D"/>
    <w:rPr>
      <w:rFonts w:asciiTheme="majorHAnsi" w:hAnsiTheme="majorHAnsi" w:eastAsiaTheme="majorEastAsia" w:cstheme="majorBidi"/>
      <w:color w:val="1F3763" w:themeColor="accent1" w:themeShade="7F"/>
      <w:sz w:val="24"/>
      <w:szCs w:val="24"/>
    </w:rPr>
  </w:style>
  <w:style w:type="character" w:styleId="Ttulo4Car" w:customStyle="1">
    <w:name w:val="Título 4 Car"/>
    <w:basedOn w:val="Fuentedeprrafopredeter"/>
    <w:link w:val="Ttulo4"/>
    <w:uiPriority w:val="9"/>
    <w:semiHidden/>
    <w:rsid w:val="0087143C"/>
    <w:rPr>
      <w:rFonts w:eastAsiaTheme="minorEastAsia"/>
      <w:b/>
      <w:bCs/>
      <w:kern w:val="0"/>
      <w:sz w:val="28"/>
      <w:szCs w:val="28"/>
      <w:lang w:val="en-US"/>
      <w14:ligatures w14:val="none"/>
    </w:rPr>
  </w:style>
  <w:style w:type="character" w:styleId="Ttulo5Car" w:customStyle="1">
    <w:name w:val="Título 5 Car"/>
    <w:basedOn w:val="Fuentedeprrafopredeter"/>
    <w:link w:val="Ttulo5"/>
    <w:uiPriority w:val="9"/>
    <w:semiHidden/>
    <w:rsid w:val="0087143C"/>
    <w:rPr>
      <w:rFonts w:eastAsiaTheme="minorEastAsia"/>
      <w:b/>
      <w:bCs/>
      <w:i/>
      <w:iCs/>
      <w:kern w:val="0"/>
      <w:sz w:val="26"/>
      <w:szCs w:val="26"/>
      <w:lang w:val="en-US"/>
      <w14:ligatures w14:val="none"/>
    </w:rPr>
  </w:style>
  <w:style w:type="character" w:styleId="Ttulo6Car" w:customStyle="1">
    <w:name w:val="Título 6 Car"/>
    <w:basedOn w:val="Fuentedeprrafopredeter"/>
    <w:link w:val="Ttulo6"/>
    <w:uiPriority w:val="9"/>
    <w:rsid w:val="0087143C"/>
    <w:rPr>
      <w:rFonts w:ascii="Times New Roman" w:hAnsi="Times New Roman" w:eastAsia="Times New Roman" w:cs="Times New Roman"/>
      <w:b/>
      <w:bCs/>
      <w:kern w:val="0"/>
      <w:lang w:val="en-US"/>
      <w14:ligatures w14:val="none"/>
    </w:rPr>
  </w:style>
  <w:style w:type="character" w:styleId="Ttulo7Car" w:customStyle="1">
    <w:name w:val="Título 7 Car"/>
    <w:basedOn w:val="Fuentedeprrafopredeter"/>
    <w:link w:val="Ttulo7"/>
    <w:uiPriority w:val="9"/>
    <w:semiHidden/>
    <w:rsid w:val="0087143C"/>
    <w:rPr>
      <w:rFonts w:eastAsiaTheme="minorEastAsia"/>
      <w:kern w:val="0"/>
      <w:sz w:val="24"/>
      <w:szCs w:val="24"/>
      <w:lang w:val="en-US"/>
      <w14:ligatures w14:val="none"/>
    </w:rPr>
  </w:style>
  <w:style w:type="character" w:styleId="Ttulo8Car" w:customStyle="1">
    <w:name w:val="Título 8 Car"/>
    <w:basedOn w:val="Fuentedeprrafopredeter"/>
    <w:link w:val="Ttulo8"/>
    <w:uiPriority w:val="9"/>
    <w:semiHidden/>
    <w:rsid w:val="0087143C"/>
    <w:rPr>
      <w:rFonts w:eastAsiaTheme="minorEastAsia"/>
      <w:i/>
      <w:iCs/>
      <w:kern w:val="0"/>
      <w:sz w:val="24"/>
      <w:szCs w:val="24"/>
      <w:lang w:val="en-US"/>
      <w14:ligatures w14:val="none"/>
    </w:rPr>
  </w:style>
  <w:style w:type="character" w:styleId="Ttulo9Car" w:customStyle="1">
    <w:name w:val="Título 9 Car"/>
    <w:basedOn w:val="Fuentedeprrafopredeter"/>
    <w:link w:val="Ttulo9"/>
    <w:uiPriority w:val="9"/>
    <w:semiHidden/>
    <w:rsid w:val="0087143C"/>
    <w:rPr>
      <w:rFonts w:asciiTheme="majorHAnsi" w:hAnsiTheme="majorHAnsi" w:eastAsiaTheme="majorEastAsia" w:cstheme="majorBidi"/>
      <w:kern w:val="0"/>
      <w:lang w:val="en-US"/>
      <w14:ligatures w14:val="none"/>
    </w:rPr>
  </w:style>
  <w:style w:type="paragraph" w:styleId="artifact-docx-previewheading1" w:customStyle="1">
    <w:name w:val="artifact-docx-preview_heading1"/>
    <w:basedOn w:val="Normal"/>
    <w:rsid w:val="0053683E"/>
    <w:pPr>
      <w:spacing w:before="100" w:beforeAutospacing="1" w:after="100" w:afterAutospacing="1" w:line="240" w:lineRule="auto"/>
    </w:pPr>
    <w:rPr>
      <w:rFonts w:ascii="Times New Roman" w:hAnsi="Times New Roman" w:eastAsia="Times New Roman" w:cs="Times New Roman"/>
      <w:kern w:val="0"/>
      <w:sz w:val="24"/>
      <w:szCs w:val="24"/>
      <w:lang w:eastAsia="es-CO"/>
      <w14:ligatures w14:val="none"/>
    </w:rPr>
  </w:style>
  <w:style w:type="paragraph" w:styleId="Descripcin">
    <w:name w:val="caption"/>
    <w:aliases w:val="Anexo,A,artículos,Epígrafe Car1,Epígrafe Car2,Epígrafe Car3,Epígrafe Car4,Epígrafe Car5,Epígrafe Car6,Epígrafe Car7,Epígrafe Car8,Epígrafe Car9,Epígrafe Car11,Epígrafe Car21,Epígrafe Car31,Epígrafe Car41,Epígrafe Car51,Epígrafe Car61,Car11"/>
    <w:basedOn w:val="Normal"/>
    <w:next w:val="Normal"/>
    <w:link w:val="DescripcinCar"/>
    <w:uiPriority w:val="35"/>
    <w:unhideWhenUsed/>
    <w:qFormat/>
    <w:rsid w:val="00D00B9F"/>
    <w:pPr>
      <w:spacing w:after="120" w:line="240" w:lineRule="auto"/>
    </w:pPr>
    <w:rPr>
      <w:rFonts w:eastAsiaTheme="minorEastAsia"/>
      <w:b/>
      <w:bCs/>
      <w:smallCaps/>
      <w:color w:val="595959" w:themeColor="text1" w:themeTint="A6"/>
      <w:spacing w:val="6"/>
      <w:kern w:val="0"/>
      <w:sz w:val="20"/>
      <w:szCs w:val="20"/>
      <w14:ligatures w14:val="none"/>
    </w:rPr>
  </w:style>
  <w:style w:type="character" w:styleId="DescripcinCar" w:customStyle="1">
    <w:name w:val="Descripción Car"/>
    <w:aliases w:val="Anexo Car,A Car,artículos Car,Epígrafe Car1 Car,Epígrafe Car2 Car,Epígrafe Car3 Car,Epígrafe Car4 Car,Epígrafe Car5 Car,Epígrafe Car6 Car,Epígrafe Car7 Car,Epígrafe Car8 Car,Epígrafe Car9 Car,Epígrafe Car11 Car,Epígrafe Car21 Car"/>
    <w:basedOn w:val="Fuentedeprrafopredeter"/>
    <w:link w:val="Descripcin"/>
    <w:uiPriority w:val="35"/>
    <w:rsid w:val="00D00B9F"/>
    <w:rPr>
      <w:rFonts w:eastAsiaTheme="minorEastAsia"/>
      <w:b/>
      <w:bCs/>
      <w:smallCaps/>
      <w:color w:val="595959" w:themeColor="text1" w:themeTint="A6"/>
      <w:spacing w:val="6"/>
      <w:kern w:val="0"/>
      <w:sz w:val="20"/>
      <w:szCs w:val="20"/>
      <w14:ligatures w14:val="none"/>
    </w:rPr>
  </w:style>
  <w:style w:type="table" w:styleId="Tablanormal21" w:customStyle="1">
    <w:name w:val="Tabla normal 21"/>
    <w:basedOn w:val="Tablanormal"/>
    <w:uiPriority w:val="99"/>
    <w:rsid w:val="00D00B9F"/>
    <w:pPr>
      <w:spacing w:after="0" w:line="240" w:lineRule="auto"/>
    </w:pPr>
    <w:rPr>
      <w:kern w:val="0"/>
      <w14:ligatures w14:val="none"/>
    </w:rPr>
    <w:tblPr>
      <w:tblStyleRowBandSize w:val="1"/>
      <w:tblStyleColBandSize w:val="1"/>
      <w:tblBorders>
        <w:top w:val="single" w:color="7F7F7F" w:themeColor="text1" w:themeTint="80" w:sz="4" w:space="0"/>
        <w:bottom w:val="single" w:color="7F7F7F" w:themeColor="text1" w:themeTint="80" w:sz="4" w:space="0"/>
      </w:tblBorders>
    </w:tblPr>
    <w:tblStylePr w:type="firstRow">
      <w:rPr>
        <w:b/>
        <w:bCs/>
      </w:rPr>
      <w:tblPr/>
      <w:tcPr>
        <w:tcBorders>
          <w:bottom w:val="single" w:color="7F7F7F" w:themeColor="text1" w:themeTint="80" w:sz="4" w:space="0"/>
        </w:tcBorders>
      </w:tcPr>
    </w:tblStylePr>
    <w:tblStylePr w:type="lastRow">
      <w:rPr>
        <w:b/>
        <w:bCs/>
      </w:rPr>
      <w:tblPr/>
      <w:tcPr>
        <w:tcBorders>
          <w:top w:val="single" w:color="7F7F7F" w:themeColor="text1" w:themeTint="80" w:sz="4" w:space="0"/>
        </w:tcBorders>
      </w:tcPr>
    </w:tblStylePr>
    <w:tblStylePr w:type="firstCol">
      <w:rPr>
        <w:b/>
        <w:bCs/>
      </w:rPr>
    </w:tblStylePr>
    <w:tblStylePr w:type="lastCol">
      <w:rPr>
        <w:b/>
        <w:bCs/>
      </w:rPr>
    </w:tblStylePr>
    <w:tblStylePr w:type="band1Vert">
      <w:tblPr/>
      <w:tcPr>
        <w:tcBorders>
          <w:left w:val="single" w:color="7F7F7F" w:themeColor="text1" w:themeTint="80" w:sz="4" w:space="0"/>
          <w:right w:val="single" w:color="7F7F7F" w:themeColor="text1" w:themeTint="80" w:sz="4" w:space="0"/>
        </w:tcBorders>
      </w:tcPr>
    </w:tblStylePr>
    <w:tblStylePr w:type="band2Vert">
      <w:tblPr/>
      <w:tcPr>
        <w:tcBorders>
          <w:left w:val="single" w:color="7F7F7F" w:themeColor="text1" w:themeTint="80" w:sz="4" w:space="0"/>
          <w:right w:val="single" w:color="7F7F7F" w:themeColor="text1" w:themeTint="80" w:sz="4" w:space="0"/>
        </w:tcBorders>
      </w:tcPr>
    </w:tblStylePr>
    <w:tblStylePr w:type="band1Horz">
      <w:tblPr/>
      <w:tcPr>
        <w:tcBorders>
          <w:top w:val="single" w:color="7F7F7F" w:themeColor="text1" w:themeTint="80" w:sz="4" w:space="0"/>
          <w:bottom w:val="single" w:color="7F7F7F" w:themeColor="text1" w:themeTint="80" w:sz="4" w:space="0"/>
        </w:tcBorders>
      </w:tcPr>
    </w:tblStylePr>
  </w:style>
  <w:style w:type="paragraph" w:styleId="Estilo1" w:customStyle="1">
    <w:name w:val="Estilo1"/>
    <w:basedOn w:val="Prrafodelista"/>
    <w:qFormat/>
    <w:rsid w:val="00D00B9F"/>
    <w:pPr>
      <w:numPr>
        <w:numId w:val="22"/>
      </w:numPr>
      <w:tabs>
        <w:tab w:val="num" w:pos="360"/>
      </w:tabs>
      <w:spacing w:after="120" w:line="264" w:lineRule="auto"/>
      <w:ind w:firstLine="0"/>
      <w:jc w:val="both"/>
    </w:pPr>
    <w:rPr>
      <w:rFonts w:ascii="Verdana" w:hAnsi="Verdana" w:eastAsiaTheme="minorEastAsia"/>
      <w:b/>
      <w:bCs/>
      <w:kern w:val="0"/>
      <w14:ligatures w14:val="none"/>
    </w:rPr>
  </w:style>
  <w:style w:type="paragraph" w:styleId="Estilo4" w:customStyle="1">
    <w:name w:val="Estilo4"/>
    <w:basedOn w:val="Ttulo2"/>
    <w:qFormat/>
    <w:rsid w:val="00D00B9F"/>
    <w:pPr>
      <w:keepNext/>
      <w:keepLines/>
      <w:numPr>
        <w:ilvl w:val="1"/>
        <w:numId w:val="22"/>
      </w:numPr>
      <w:tabs>
        <w:tab w:val="num" w:pos="360"/>
      </w:tabs>
      <w:spacing w:before="80" w:after="0"/>
      <w:ind w:left="0" w:firstLine="0"/>
      <w:jc w:val="both"/>
    </w:pPr>
    <w:rPr>
      <w:rFonts w:ascii="Verdana" w:hAnsi="Verdana" w:eastAsiaTheme="majorEastAsia" w:cstheme="majorBidi"/>
      <w:color w:val="404040" w:themeColor="text1" w:themeTint="BF"/>
      <w:sz w:val="22"/>
      <w:szCs w:val="22"/>
      <w:lang w:eastAsia="en-US"/>
      <w14:ligatures w14:val="none"/>
    </w:rPr>
  </w:style>
  <w:style w:type="paragraph" w:styleId="Estilo5" w:customStyle="1">
    <w:name w:val="Estilo5"/>
    <w:basedOn w:val="Prrafodelista"/>
    <w:next w:val="Ttulo3"/>
    <w:link w:val="Estilo5Car"/>
    <w:qFormat/>
    <w:rsid w:val="00D00B9F"/>
    <w:pPr>
      <w:numPr>
        <w:ilvl w:val="2"/>
        <w:numId w:val="22"/>
      </w:numPr>
      <w:spacing w:after="120" w:line="264" w:lineRule="auto"/>
      <w:jc w:val="both"/>
    </w:pPr>
    <w:rPr>
      <w:rFonts w:ascii="Verdana" w:hAnsi="Verdana" w:eastAsiaTheme="minorEastAsia"/>
      <w:b/>
      <w:bCs/>
      <w:kern w:val="0"/>
      <w14:ligatures w14:val="none"/>
    </w:rPr>
  </w:style>
  <w:style w:type="character" w:styleId="Estilo5Car" w:customStyle="1">
    <w:name w:val="Estilo5 Car"/>
    <w:basedOn w:val="Fuentedeprrafopredeter"/>
    <w:link w:val="Estilo5"/>
    <w:rsid w:val="00D00B9F"/>
    <w:rPr>
      <w:rFonts w:ascii="Verdana" w:hAnsi="Verdana" w:eastAsiaTheme="minorEastAsia"/>
      <w:b/>
      <w:bCs/>
      <w:kern w:val="0"/>
      <w14:ligatures w14:val="none"/>
    </w:rPr>
  </w:style>
  <w:style w:type="paragraph" w:styleId="Ttulo">
    <w:name w:val="Title"/>
    <w:basedOn w:val="Normal"/>
    <w:next w:val="Normal"/>
    <w:link w:val="TtuloCar"/>
    <w:uiPriority w:val="10"/>
    <w:qFormat/>
    <w:rsid w:val="00B61180"/>
    <w:pPr>
      <w:spacing w:after="80" w:line="240" w:lineRule="auto"/>
      <w:contextualSpacing/>
    </w:pPr>
    <w:rPr>
      <w:rFonts w:asciiTheme="majorHAnsi" w:hAnsiTheme="majorHAnsi" w:eastAsiaTheme="majorEastAsia" w:cstheme="majorBidi"/>
      <w:spacing w:val="-10"/>
      <w:kern w:val="28"/>
      <w:sz w:val="56"/>
      <w:szCs w:val="56"/>
    </w:rPr>
  </w:style>
  <w:style w:type="character" w:styleId="TtuloCar" w:customStyle="1">
    <w:name w:val="Título Car"/>
    <w:basedOn w:val="Fuentedeprrafopredeter"/>
    <w:link w:val="Ttulo"/>
    <w:uiPriority w:val="10"/>
    <w:rsid w:val="00B61180"/>
    <w:rPr>
      <w:rFonts w:asciiTheme="majorHAnsi" w:hAnsiTheme="majorHAnsi" w:eastAsiaTheme="majorEastAsia" w:cstheme="majorBidi"/>
      <w:spacing w:val="-10"/>
      <w:kern w:val="28"/>
      <w:sz w:val="56"/>
      <w:szCs w:val="56"/>
    </w:rPr>
  </w:style>
  <w:style w:type="paragraph" w:styleId="Subttulo">
    <w:name w:val="Subtitle"/>
    <w:basedOn w:val="Normal"/>
    <w:next w:val="Normal"/>
    <w:link w:val="SubttuloCar"/>
    <w:uiPriority w:val="11"/>
    <w:qFormat/>
    <w:rsid w:val="00B61180"/>
    <w:pPr>
      <w:numPr>
        <w:ilvl w:val="1"/>
      </w:numPr>
    </w:pPr>
    <w:rPr>
      <w:rFonts w:eastAsiaTheme="majorEastAsia" w:cstheme="majorBidi"/>
      <w:color w:val="595959" w:themeColor="text1" w:themeTint="A6"/>
      <w:spacing w:val="15"/>
      <w:sz w:val="28"/>
      <w:szCs w:val="28"/>
    </w:rPr>
  </w:style>
  <w:style w:type="character" w:styleId="SubttuloCar" w:customStyle="1">
    <w:name w:val="Subtítulo Car"/>
    <w:basedOn w:val="Fuentedeprrafopredeter"/>
    <w:link w:val="Subttulo"/>
    <w:uiPriority w:val="11"/>
    <w:rsid w:val="00B61180"/>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B61180"/>
    <w:pPr>
      <w:spacing w:before="160"/>
      <w:jc w:val="center"/>
    </w:pPr>
    <w:rPr>
      <w:i/>
      <w:iCs/>
      <w:color w:val="404040" w:themeColor="text1" w:themeTint="BF"/>
    </w:rPr>
  </w:style>
  <w:style w:type="character" w:styleId="CitaCar" w:customStyle="1">
    <w:name w:val="Cita Car"/>
    <w:basedOn w:val="Fuentedeprrafopredeter"/>
    <w:link w:val="Cita"/>
    <w:uiPriority w:val="29"/>
    <w:rsid w:val="00B61180"/>
    <w:rPr>
      <w:i/>
      <w:iCs/>
      <w:color w:val="404040" w:themeColor="text1" w:themeTint="BF"/>
    </w:rPr>
  </w:style>
  <w:style w:type="character" w:styleId="nfasisintenso">
    <w:name w:val="Intense Emphasis"/>
    <w:basedOn w:val="Fuentedeprrafopredeter"/>
    <w:uiPriority w:val="21"/>
    <w:qFormat/>
    <w:rsid w:val="00B61180"/>
    <w:rPr>
      <w:i/>
      <w:iCs/>
      <w:color w:val="2F5496" w:themeColor="accent1" w:themeShade="BF"/>
    </w:rPr>
  </w:style>
  <w:style w:type="paragraph" w:styleId="Citadestacada">
    <w:name w:val="Intense Quote"/>
    <w:basedOn w:val="Normal"/>
    <w:next w:val="Normal"/>
    <w:link w:val="CitadestacadaCar"/>
    <w:uiPriority w:val="30"/>
    <w:qFormat/>
    <w:rsid w:val="00B61180"/>
    <w:pPr>
      <w:pBdr>
        <w:top w:val="single" w:color="2F5496" w:themeColor="accent1" w:themeShade="BF" w:sz="4" w:space="10"/>
        <w:bottom w:val="single" w:color="2F5496" w:themeColor="accent1" w:themeShade="BF" w:sz="4" w:space="10"/>
      </w:pBdr>
      <w:spacing w:before="360" w:after="360"/>
      <w:ind w:left="864" w:right="864"/>
      <w:jc w:val="center"/>
    </w:pPr>
    <w:rPr>
      <w:i/>
      <w:iCs/>
      <w:color w:val="2F5496" w:themeColor="accent1" w:themeShade="BF"/>
    </w:rPr>
  </w:style>
  <w:style w:type="character" w:styleId="CitadestacadaCar" w:customStyle="1">
    <w:name w:val="Cita destacada Car"/>
    <w:basedOn w:val="Fuentedeprrafopredeter"/>
    <w:link w:val="Citadestacada"/>
    <w:uiPriority w:val="30"/>
    <w:rsid w:val="00B61180"/>
    <w:rPr>
      <w:i/>
      <w:iCs/>
      <w:color w:val="2F5496" w:themeColor="accent1" w:themeShade="BF"/>
    </w:rPr>
  </w:style>
  <w:style w:type="character" w:styleId="Referenciaintensa">
    <w:name w:val="Intense Reference"/>
    <w:basedOn w:val="Fuentedeprrafopredeter"/>
    <w:uiPriority w:val="32"/>
    <w:qFormat/>
    <w:rsid w:val="00B61180"/>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5864697">
      <w:bodyDiv w:val="1"/>
      <w:marLeft w:val="0"/>
      <w:marRight w:val="0"/>
      <w:marTop w:val="0"/>
      <w:marBottom w:val="0"/>
      <w:divBdr>
        <w:top w:val="none" w:sz="0" w:space="0" w:color="auto"/>
        <w:left w:val="none" w:sz="0" w:space="0" w:color="auto"/>
        <w:bottom w:val="none" w:sz="0" w:space="0" w:color="auto"/>
        <w:right w:val="none" w:sz="0" w:space="0" w:color="auto"/>
      </w:divBdr>
    </w:div>
    <w:div w:id="424964627">
      <w:bodyDiv w:val="1"/>
      <w:marLeft w:val="0"/>
      <w:marRight w:val="0"/>
      <w:marTop w:val="0"/>
      <w:marBottom w:val="0"/>
      <w:divBdr>
        <w:top w:val="none" w:sz="0" w:space="0" w:color="auto"/>
        <w:left w:val="none" w:sz="0" w:space="0" w:color="auto"/>
        <w:bottom w:val="none" w:sz="0" w:space="0" w:color="auto"/>
        <w:right w:val="none" w:sz="0" w:space="0" w:color="auto"/>
      </w:divBdr>
    </w:div>
    <w:div w:id="1424565266">
      <w:bodyDiv w:val="1"/>
      <w:marLeft w:val="0"/>
      <w:marRight w:val="0"/>
      <w:marTop w:val="0"/>
      <w:marBottom w:val="0"/>
      <w:divBdr>
        <w:top w:val="none" w:sz="0" w:space="0" w:color="auto"/>
        <w:left w:val="none" w:sz="0" w:space="0" w:color="auto"/>
        <w:bottom w:val="none" w:sz="0" w:space="0" w:color="auto"/>
        <w:right w:val="none" w:sz="0" w:space="0" w:color="auto"/>
      </w:divBdr>
    </w:div>
    <w:div w:id="1461992874">
      <w:bodyDiv w:val="1"/>
      <w:marLeft w:val="0"/>
      <w:marRight w:val="0"/>
      <w:marTop w:val="0"/>
      <w:marBottom w:val="0"/>
      <w:divBdr>
        <w:top w:val="none" w:sz="0" w:space="0" w:color="auto"/>
        <w:left w:val="none" w:sz="0" w:space="0" w:color="auto"/>
        <w:bottom w:val="none" w:sz="0" w:space="0" w:color="auto"/>
        <w:right w:val="none" w:sz="0" w:space="0" w:color="auto"/>
      </w:divBdr>
    </w:div>
    <w:div w:id="1549418791">
      <w:bodyDiv w:val="1"/>
      <w:marLeft w:val="0"/>
      <w:marRight w:val="0"/>
      <w:marTop w:val="0"/>
      <w:marBottom w:val="0"/>
      <w:divBdr>
        <w:top w:val="none" w:sz="0" w:space="0" w:color="auto"/>
        <w:left w:val="none" w:sz="0" w:space="0" w:color="auto"/>
        <w:bottom w:val="none" w:sz="0" w:space="0" w:color="auto"/>
        <w:right w:val="none" w:sz="0" w:space="0" w:color="auto"/>
      </w:divBdr>
      <w:divsChild>
        <w:div w:id="325324572">
          <w:marLeft w:val="0"/>
          <w:marRight w:val="0"/>
          <w:marTop w:val="0"/>
          <w:marBottom w:val="0"/>
          <w:divBdr>
            <w:top w:val="none" w:sz="0" w:space="0" w:color="auto"/>
            <w:left w:val="none" w:sz="0" w:space="0" w:color="auto"/>
            <w:bottom w:val="none" w:sz="0" w:space="0" w:color="auto"/>
            <w:right w:val="none" w:sz="0" w:space="0" w:color="auto"/>
          </w:divBdr>
          <w:divsChild>
            <w:div w:id="1522432383">
              <w:marLeft w:val="0"/>
              <w:marRight w:val="0"/>
              <w:marTop w:val="0"/>
              <w:marBottom w:val="0"/>
              <w:divBdr>
                <w:top w:val="none" w:sz="0" w:space="0" w:color="auto"/>
                <w:left w:val="none" w:sz="0" w:space="0" w:color="auto"/>
                <w:bottom w:val="none" w:sz="0" w:space="0" w:color="auto"/>
                <w:right w:val="none" w:sz="0" w:space="0" w:color="auto"/>
              </w:divBdr>
            </w:div>
            <w:div w:id="789980027">
              <w:marLeft w:val="0"/>
              <w:marRight w:val="0"/>
              <w:marTop w:val="0"/>
              <w:marBottom w:val="0"/>
              <w:divBdr>
                <w:top w:val="none" w:sz="0" w:space="0" w:color="auto"/>
                <w:left w:val="none" w:sz="0" w:space="0" w:color="auto"/>
                <w:bottom w:val="none" w:sz="0" w:space="0" w:color="auto"/>
                <w:right w:val="none" w:sz="0" w:space="0" w:color="auto"/>
              </w:divBdr>
            </w:div>
            <w:div w:id="1143696094">
              <w:marLeft w:val="0"/>
              <w:marRight w:val="0"/>
              <w:marTop w:val="0"/>
              <w:marBottom w:val="0"/>
              <w:divBdr>
                <w:top w:val="none" w:sz="0" w:space="0" w:color="auto"/>
                <w:left w:val="none" w:sz="0" w:space="0" w:color="auto"/>
                <w:bottom w:val="none" w:sz="0" w:space="0" w:color="auto"/>
                <w:right w:val="none" w:sz="0" w:space="0" w:color="auto"/>
              </w:divBdr>
            </w:div>
            <w:div w:id="1761094951">
              <w:marLeft w:val="0"/>
              <w:marRight w:val="0"/>
              <w:marTop w:val="0"/>
              <w:marBottom w:val="0"/>
              <w:divBdr>
                <w:top w:val="none" w:sz="0" w:space="0" w:color="auto"/>
                <w:left w:val="none" w:sz="0" w:space="0" w:color="auto"/>
                <w:bottom w:val="none" w:sz="0" w:space="0" w:color="auto"/>
                <w:right w:val="none" w:sz="0" w:space="0" w:color="auto"/>
              </w:divBdr>
            </w:div>
            <w:div w:id="937953580">
              <w:marLeft w:val="0"/>
              <w:marRight w:val="0"/>
              <w:marTop w:val="0"/>
              <w:marBottom w:val="0"/>
              <w:divBdr>
                <w:top w:val="none" w:sz="0" w:space="0" w:color="auto"/>
                <w:left w:val="none" w:sz="0" w:space="0" w:color="auto"/>
                <w:bottom w:val="none" w:sz="0" w:space="0" w:color="auto"/>
                <w:right w:val="none" w:sz="0" w:space="0" w:color="auto"/>
              </w:divBdr>
            </w:div>
            <w:div w:id="1889031896">
              <w:marLeft w:val="0"/>
              <w:marRight w:val="0"/>
              <w:marTop w:val="0"/>
              <w:marBottom w:val="0"/>
              <w:divBdr>
                <w:top w:val="none" w:sz="0" w:space="0" w:color="auto"/>
                <w:left w:val="none" w:sz="0" w:space="0" w:color="auto"/>
                <w:bottom w:val="none" w:sz="0" w:space="0" w:color="auto"/>
                <w:right w:val="none" w:sz="0" w:space="0" w:color="auto"/>
              </w:divBdr>
            </w:div>
            <w:div w:id="1204097867">
              <w:marLeft w:val="0"/>
              <w:marRight w:val="0"/>
              <w:marTop w:val="0"/>
              <w:marBottom w:val="0"/>
              <w:divBdr>
                <w:top w:val="none" w:sz="0" w:space="0" w:color="auto"/>
                <w:left w:val="none" w:sz="0" w:space="0" w:color="auto"/>
                <w:bottom w:val="none" w:sz="0" w:space="0" w:color="auto"/>
                <w:right w:val="none" w:sz="0" w:space="0" w:color="auto"/>
              </w:divBdr>
            </w:div>
            <w:div w:id="538906259">
              <w:marLeft w:val="0"/>
              <w:marRight w:val="0"/>
              <w:marTop w:val="0"/>
              <w:marBottom w:val="0"/>
              <w:divBdr>
                <w:top w:val="none" w:sz="0" w:space="0" w:color="auto"/>
                <w:left w:val="none" w:sz="0" w:space="0" w:color="auto"/>
                <w:bottom w:val="none" w:sz="0" w:space="0" w:color="auto"/>
                <w:right w:val="none" w:sz="0" w:space="0" w:color="auto"/>
              </w:divBdr>
            </w:div>
            <w:div w:id="915046051">
              <w:marLeft w:val="0"/>
              <w:marRight w:val="0"/>
              <w:marTop w:val="0"/>
              <w:marBottom w:val="0"/>
              <w:divBdr>
                <w:top w:val="none" w:sz="0" w:space="0" w:color="auto"/>
                <w:left w:val="none" w:sz="0" w:space="0" w:color="auto"/>
                <w:bottom w:val="none" w:sz="0" w:space="0" w:color="auto"/>
                <w:right w:val="none" w:sz="0" w:space="0" w:color="auto"/>
              </w:divBdr>
            </w:div>
            <w:div w:id="1503156214">
              <w:marLeft w:val="0"/>
              <w:marRight w:val="0"/>
              <w:marTop w:val="0"/>
              <w:marBottom w:val="0"/>
              <w:divBdr>
                <w:top w:val="none" w:sz="0" w:space="0" w:color="auto"/>
                <w:left w:val="none" w:sz="0" w:space="0" w:color="auto"/>
                <w:bottom w:val="none" w:sz="0" w:space="0" w:color="auto"/>
                <w:right w:val="none" w:sz="0" w:space="0" w:color="auto"/>
              </w:divBdr>
            </w:div>
            <w:div w:id="651300066">
              <w:marLeft w:val="0"/>
              <w:marRight w:val="0"/>
              <w:marTop w:val="0"/>
              <w:marBottom w:val="0"/>
              <w:divBdr>
                <w:top w:val="none" w:sz="0" w:space="0" w:color="auto"/>
                <w:left w:val="none" w:sz="0" w:space="0" w:color="auto"/>
                <w:bottom w:val="none" w:sz="0" w:space="0" w:color="auto"/>
                <w:right w:val="none" w:sz="0" w:space="0" w:color="auto"/>
              </w:divBdr>
            </w:div>
            <w:div w:id="1113357496">
              <w:marLeft w:val="0"/>
              <w:marRight w:val="0"/>
              <w:marTop w:val="0"/>
              <w:marBottom w:val="0"/>
              <w:divBdr>
                <w:top w:val="none" w:sz="0" w:space="0" w:color="auto"/>
                <w:left w:val="none" w:sz="0" w:space="0" w:color="auto"/>
                <w:bottom w:val="none" w:sz="0" w:space="0" w:color="auto"/>
                <w:right w:val="none" w:sz="0" w:space="0" w:color="auto"/>
              </w:divBdr>
            </w:div>
            <w:div w:id="1383478660">
              <w:marLeft w:val="0"/>
              <w:marRight w:val="0"/>
              <w:marTop w:val="0"/>
              <w:marBottom w:val="0"/>
              <w:divBdr>
                <w:top w:val="none" w:sz="0" w:space="0" w:color="auto"/>
                <w:left w:val="none" w:sz="0" w:space="0" w:color="auto"/>
                <w:bottom w:val="none" w:sz="0" w:space="0" w:color="auto"/>
                <w:right w:val="none" w:sz="0" w:space="0" w:color="auto"/>
              </w:divBdr>
            </w:div>
            <w:div w:id="1885017153">
              <w:marLeft w:val="0"/>
              <w:marRight w:val="0"/>
              <w:marTop w:val="0"/>
              <w:marBottom w:val="0"/>
              <w:divBdr>
                <w:top w:val="none" w:sz="0" w:space="0" w:color="auto"/>
                <w:left w:val="none" w:sz="0" w:space="0" w:color="auto"/>
                <w:bottom w:val="none" w:sz="0" w:space="0" w:color="auto"/>
                <w:right w:val="none" w:sz="0" w:space="0" w:color="auto"/>
              </w:divBdr>
            </w:div>
          </w:divsChild>
        </w:div>
        <w:div w:id="607346841">
          <w:marLeft w:val="0"/>
          <w:marRight w:val="0"/>
          <w:marTop w:val="0"/>
          <w:marBottom w:val="0"/>
          <w:divBdr>
            <w:top w:val="none" w:sz="0" w:space="0" w:color="auto"/>
            <w:left w:val="none" w:sz="0" w:space="0" w:color="auto"/>
            <w:bottom w:val="none" w:sz="0" w:space="0" w:color="auto"/>
            <w:right w:val="none" w:sz="0" w:space="0" w:color="auto"/>
          </w:divBdr>
          <w:divsChild>
            <w:div w:id="129522913">
              <w:marLeft w:val="0"/>
              <w:marRight w:val="0"/>
              <w:marTop w:val="0"/>
              <w:marBottom w:val="0"/>
              <w:divBdr>
                <w:top w:val="none" w:sz="0" w:space="0" w:color="auto"/>
                <w:left w:val="none" w:sz="0" w:space="0" w:color="auto"/>
                <w:bottom w:val="none" w:sz="0" w:space="0" w:color="auto"/>
                <w:right w:val="none" w:sz="0" w:space="0" w:color="auto"/>
              </w:divBdr>
            </w:div>
            <w:div w:id="775097185">
              <w:marLeft w:val="0"/>
              <w:marRight w:val="0"/>
              <w:marTop w:val="0"/>
              <w:marBottom w:val="0"/>
              <w:divBdr>
                <w:top w:val="none" w:sz="0" w:space="0" w:color="auto"/>
                <w:left w:val="none" w:sz="0" w:space="0" w:color="auto"/>
                <w:bottom w:val="none" w:sz="0" w:space="0" w:color="auto"/>
                <w:right w:val="none" w:sz="0" w:space="0" w:color="auto"/>
              </w:divBdr>
            </w:div>
            <w:div w:id="287198642">
              <w:marLeft w:val="0"/>
              <w:marRight w:val="0"/>
              <w:marTop w:val="0"/>
              <w:marBottom w:val="0"/>
              <w:divBdr>
                <w:top w:val="none" w:sz="0" w:space="0" w:color="auto"/>
                <w:left w:val="none" w:sz="0" w:space="0" w:color="auto"/>
                <w:bottom w:val="none" w:sz="0" w:space="0" w:color="auto"/>
                <w:right w:val="none" w:sz="0" w:space="0" w:color="auto"/>
              </w:divBdr>
            </w:div>
            <w:div w:id="1147163132">
              <w:marLeft w:val="0"/>
              <w:marRight w:val="0"/>
              <w:marTop w:val="0"/>
              <w:marBottom w:val="0"/>
              <w:divBdr>
                <w:top w:val="none" w:sz="0" w:space="0" w:color="auto"/>
                <w:left w:val="none" w:sz="0" w:space="0" w:color="auto"/>
                <w:bottom w:val="none" w:sz="0" w:space="0" w:color="auto"/>
                <w:right w:val="none" w:sz="0" w:space="0" w:color="auto"/>
              </w:divBdr>
            </w:div>
            <w:div w:id="1629969546">
              <w:marLeft w:val="0"/>
              <w:marRight w:val="0"/>
              <w:marTop w:val="0"/>
              <w:marBottom w:val="0"/>
              <w:divBdr>
                <w:top w:val="none" w:sz="0" w:space="0" w:color="auto"/>
                <w:left w:val="none" w:sz="0" w:space="0" w:color="auto"/>
                <w:bottom w:val="none" w:sz="0" w:space="0" w:color="auto"/>
                <w:right w:val="none" w:sz="0" w:space="0" w:color="auto"/>
              </w:divBdr>
            </w:div>
            <w:div w:id="2011634924">
              <w:marLeft w:val="0"/>
              <w:marRight w:val="0"/>
              <w:marTop w:val="0"/>
              <w:marBottom w:val="0"/>
              <w:divBdr>
                <w:top w:val="none" w:sz="0" w:space="0" w:color="auto"/>
                <w:left w:val="none" w:sz="0" w:space="0" w:color="auto"/>
                <w:bottom w:val="none" w:sz="0" w:space="0" w:color="auto"/>
                <w:right w:val="none" w:sz="0" w:space="0" w:color="auto"/>
              </w:divBdr>
            </w:div>
            <w:div w:id="1616406844">
              <w:marLeft w:val="0"/>
              <w:marRight w:val="0"/>
              <w:marTop w:val="0"/>
              <w:marBottom w:val="0"/>
              <w:divBdr>
                <w:top w:val="none" w:sz="0" w:space="0" w:color="auto"/>
                <w:left w:val="none" w:sz="0" w:space="0" w:color="auto"/>
                <w:bottom w:val="none" w:sz="0" w:space="0" w:color="auto"/>
                <w:right w:val="none" w:sz="0" w:space="0" w:color="auto"/>
              </w:divBdr>
            </w:div>
            <w:div w:id="1298296393">
              <w:marLeft w:val="0"/>
              <w:marRight w:val="0"/>
              <w:marTop w:val="0"/>
              <w:marBottom w:val="0"/>
              <w:divBdr>
                <w:top w:val="none" w:sz="0" w:space="0" w:color="auto"/>
                <w:left w:val="none" w:sz="0" w:space="0" w:color="auto"/>
                <w:bottom w:val="none" w:sz="0" w:space="0" w:color="auto"/>
                <w:right w:val="none" w:sz="0" w:space="0" w:color="auto"/>
              </w:divBdr>
            </w:div>
            <w:div w:id="451945528">
              <w:marLeft w:val="0"/>
              <w:marRight w:val="0"/>
              <w:marTop w:val="0"/>
              <w:marBottom w:val="0"/>
              <w:divBdr>
                <w:top w:val="none" w:sz="0" w:space="0" w:color="auto"/>
                <w:left w:val="none" w:sz="0" w:space="0" w:color="auto"/>
                <w:bottom w:val="none" w:sz="0" w:space="0" w:color="auto"/>
                <w:right w:val="none" w:sz="0" w:space="0" w:color="auto"/>
              </w:divBdr>
            </w:div>
            <w:div w:id="42751375">
              <w:marLeft w:val="0"/>
              <w:marRight w:val="0"/>
              <w:marTop w:val="0"/>
              <w:marBottom w:val="0"/>
              <w:divBdr>
                <w:top w:val="none" w:sz="0" w:space="0" w:color="auto"/>
                <w:left w:val="none" w:sz="0" w:space="0" w:color="auto"/>
                <w:bottom w:val="none" w:sz="0" w:space="0" w:color="auto"/>
                <w:right w:val="none" w:sz="0" w:space="0" w:color="auto"/>
              </w:divBdr>
            </w:div>
            <w:div w:id="1586264283">
              <w:marLeft w:val="0"/>
              <w:marRight w:val="0"/>
              <w:marTop w:val="0"/>
              <w:marBottom w:val="0"/>
              <w:divBdr>
                <w:top w:val="none" w:sz="0" w:space="0" w:color="auto"/>
                <w:left w:val="none" w:sz="0" w:space="0" w:color="auto"/>
                <w:bottom w:val="none" w:sz="0" w:space="0" w:color="auto"/>
                <w:right w:val="none" w:sz="0" w:space="0" w:color="auto"/>
              </w:divBdr>
            </w:div>
            <w:div w:id="369496440">
              <w:marLeft w:val="0"/>
              <w:marRight w:val="0"/>
              <w:marTop w:val="0"/>
              <w:marBottom w:val="0"/>
              <w:divBdr>
                <w:top w:val="none" w:sz="0" w:space="0" w:color="auto"/>
                <w:left w:val="none" w:sz="0" w:space="0" w:color="auto"/>
                <w:bottom w:val="none" w:sz="0" w:space="0" w:color="auto"/>
                <w:right w:val="none" w:sz="0" w:space="0" w:color="auto"/>
              </w:divBdr>
            </w:div>
            <w:div w:id="1170561951">
              <w:marLeft w:val="0"/>
              <w:marRight w:val="0"/>
              <w:marTop w:val="0"/>
              <w:marBottom w:val="0"/>
              <w:divBdr>
                <w:top w:val="none" w:sz="0" w:space="0" w:color="auto"/>
                <w:left w:val="none" w:sz="0" w:space="0" w:color="auto"/>
                <w:bottom w:val="none" w:sz="0" w:space="0" w:color="auto"/>
                <w:right w:val="none" w:sz="0" w:space="0" w:color="auto"/>
              </w:divBdr>
            </w:div>
            <w:div w:id="385839200">
              <w:marLeft w:val="0"/>
              <w:marRight w:val="0"/>
              <w:marTop w:val="0"/>
              <w:marBottom w:val="0"/>
              <w:divBdr>
                <w:top w:val="none" w:sz="0" w:space="0" w:color="auto"/>
                <w:left w:val="none" w:sz="0" w:space="0" w:color="auto"/>
                <w:bottom w:val="none" w:sz="0" w:space="0" w:color="auto"/>
                <w:right w:val="none" w:sz="0" w:space="0" w:color="auto"/>
              </w:divBdr>
            </w:div>
            <w:div w:id="947735441">
              <w:marLeft w:val="0"/>
              <w:marRight w:val="0"/>
              <w:marTop w:val="0"/>
              <w:marBottom w:val="0"/>
              <w:divBdr>
                <w:top w:val="none" w:sz="0" w:space="0" w:color="auto"/>
                <w:left w:val="none" w:sz="0" w:space="0" w:color="auto"/>
                <w:bottom w:val="none" w:sz="0" w:space="0" w:color="auto"/>
                <w:right w:val="none" w:sz="0" w:space="0" w:color="auto"/>
              </w:divBdr>
            </w:div>
            <w:div w:id="725491651">
              <w:marLeft w:val="0"/>
              <w:marRight w:val="0"/>
              <w:marTop w:val="0"/>
              <w:marBottom w:val="0"/>
              <w:divBdr>
                <w:top w:val="none" w:sz="0" w:space="0" w:color="auto"/>
                <w:left w:val="none" w:sz="0" w:space="0" w:color="auto"/>
                <w:bottom w:val="none" w:sz="0" w:space="0" w:color="auto"/>
                <w:right w:val="none" w:sz="0" w:space="0" w:color="auto"/>
              </w:divBdr>
            </w:div>
            <w:div w:id="305352499">
              <w:marLeft w:val="0"/>
              <w:marRight w:val="0"/>
              <w:marTop w:val="0"/>
              <w:marBottom w:val="0"/>
              <w:divBdr>
                <w:top w:val="none" w:sz="0" w:space="0" w:color="auto"/>
                <w:left w:val="none" w:sz="0" w:space="0" w:color="auto"/>
                <w:bottom w:val="none" w:sz="0" w:space="0" w:color="auto"/>
                <w:right w:val="none" w:sz="0" w:space="0" w:color="auto"/>
              </w:divBdr>
            </w:div>
            <w:div w:id="2022200135">
              <w:marLeft w:val="0"/>
              <w:marRight w:val="0"/>
              <w:marTop w:val="0"/>
              <w:marBottom w:val="0"/>
              <w:divBdr>
                <w:top w:val="none" w:sz="0" w:space="0" w:color="auto"/>
                <w:left w:val="none" w:sz="0" w:space="0" w:color="auto"/>
                <w:bottom w:val="none" w:sz="0" w:space="0" w:color="auto"/>
                <w:right w:val="none" w:sz="0" w:space="0" w:color="auto"/>
              </w:divBdr>
            </w:div>
            <w:div w:id="1705204837">
              <w:marLeft w:val="0"/>
              <w:marRight w:val="0"/>
              <w:marTop w:val="0"/>
              <w:marBottom w:val="0"/>
              <w:divBdr>
                <w:top w:val="none" w:sz="0" w:space="0" w:color="auto"/>
                <w:left w:val="none" w:sz="0" w:space="0" w:color="auto"/>
                <w:bottom w:val="none" w:sz="0" w:space="0" w:color="auto"/>
                <w:right w:val="none" w:sz="0" w:space="0" w:color="auto"/>
              </w:divBdr>
            </w:div>
            <w:div w:id="545919115">
              <w:marLeft w:val="0"/>
              <w:marRight w:val="0"/>
              <w:marTop w:val="0"/>
              <w:marBottom w:val="0"/>
              <w:divBdr>
                <w:top w:val="none" w:sz="0" w:space="0" w:color="auto"/>
                <w:left w:val="none" w:sz="0" w:space="0" w:color="auto"/>
                <w:bottom w:val="none" w:sz="0" w:space="0" w:color="auto"/>
                <w:right w:val="none" w:sz="0" w:space="0" w:color="auto"/>
              </w:divBdr>
            </w:div>
          </w:divsChild>
        </w:div>
        <w:div w:id="1379359104">
          <w:marLeft w:val="0"/>
          <w:marRight w:val="0"/>
          <w:marTop w:val="0"/>
          <w:marBottom w:val="0"/>
          <w:divBdr>
            <w:top w:val="none" w:sz="0" w:space="0" w:color="auto"/>
            <w:left w:val="none" w:sz="0" w:space="0" w:color="auto"/>
            <w:bottom w:val="none" w:sz="0" w:space="0" w:color="auto"/>
            <w:right w:val="none" w:sz="0" w:space="0" w:color="auto"/>
          </w:divBdr>
          <w:divsChild>
            <w:div w:id="2058044462">
              <w:marLeft w:val="0"/>
              <w:marRight w:val="0"/>
              <w:marTop w:val="0"/>
              <w:marBottom w:val="0"/>
              <w:divBdr>
                <w:top w:val="none" w:sz="0" w:space="0" w:color="auto"/>
                <w:left w:val="none" w:sz="0" w:space="0" w:color="auto"/>
                <w:bottom w:val="none" w:sz="0" w:space="0" w:color="auto"/>
                <w:right w:val="none" w:sz="0" w:space="0" w:color="auto"/>
              </w:divBdr>
            </w:div>
            <w:div w:id="314453533">
              <w:marLeft w:val="0"/>
              <w:marRight w:val="0"/>
              <w:marTop w:val="0"/>
              <w:marBottom w:val="0"/>
              <w:divBdr>
                <w:top w:val="none" w:sz="0" w:space="0" w:color="auto"/>
                <w:left w:val="none" w:sz="0" w:space="0" w:color="auto"/>
                <w:bottom w:val="none" w:sz="0" w:space="0" w:color="auto"/>
                <w:right w:val="none" w:sz="0" w:space="0" w:color="auto"/>
              </w:divBdr>
            </w:div>
            <w:div w:id="770124096">
              <w:marLeft w:val="0"/>
              <w:marRight w:val="0"/>
              <w:marTop w:val="0"/>
              <w:marBottom w:val="0"/>
              <w:divBdr>
                <w:top w:val="none" w:sz="0" w:space="0" w:color="auto"/>
                <w:left w:val="none" w:sz="0" w:space="0" w:color="auto"/>
                <w:bottom w:val="none" w:sz="0" w:space="0" w:color="auto"/>
                <w:right w:val="none" w:sz="0" w:space="0" w:color="auto"/>
              </w:divBdr>
            </w:div>
            <w:div w:id="313147707">
              <w:marLeft w:val="0"/>
              <w:marRight w:val="0"/>
              <w:marTop w:val="0"/>
              <w:marBottom w:val="0"/>
              <w:divBdr>
                <w:top w:val="none" w:sz="0" w:space="0" w:color="auto"/>
                <w:left w:val="none" w:sz="0" w:space="0" w:color="auto"/>
                <w:bottom w:val="none" w:sz="0" w:space="0" w:color="auto"/>
                <w:right w:val="none" w:sz="0" w:space="0" w:color="auto"/>
              </w:divBdr>
            </w:div>
            <w:div w:id="353044751">
              <w:marLeft w:val="0"/>
              <w:marRight w:val="0"/>
              <w:marTop w:val="0"/>
              <w:marBottom w:val="0"/>
              <w:divBdr>
                <w:top w:val="none" w:sz="0" w:space="0" w:color="auto"/>
                <w:left w:val="none" w:sz="0" w:space="0" w:color="auto"/>
                <w:bottom w:val="none" w:sz="0" w:space="0" w:color="auto"/>
                <w:right w:val="none" w:sz="0" w:space="0" w:color="auto"/>
              </w:divBdr>
            </w:div>
            <w:div w:id="846603403">
              <w:marLeft w:val="0"/>
              <w:marRight w:val="0"/>
              <w:marTop w:val="0"/>
              <w:marBottom w:val="0"/>
              <w:divBdr>
                <w:top w:val="none" w:sz="0" w:space="0" w:color="auto"/>
                <w:left w:val="none" w:sz="0" w:space="0" w:color="auto"/>
                <w:bottom w:val="none" w:sz="0" w:space="0" w:color="auto"/>
                <w:right w:val="none" w:sz="0" w:space="0" w:color="auto"/>
              </w:divBdr>
            </w:div>
            <w:div w:id="237374450">
              <w:marLeft w:val="0"/>
              <w:marRight w:val="0"/>
              <w:marTop w:val="0"/>
              <w:marBottom w:val="0"/>
              <w:divBdr>
                <w:top w:val="none" w:sz="0" w:space="0" w:color="auto"/>
                <w:left w:val="none" w:sz="0" w:space="0" w:color="auto"/>
                <w:bottom w:val="none" w:sz="0" w:space="0" w:color="auto"/>
                <w:right w:val="none" w:sz="0" w:space="0" w:color="auto"/>
              </w:divBdr>
            </w:div>
            <w:div w:id="1359506888">
              <w:marLeft w:val="0"/>
              <w:marRight w:val="0"/>
              <w:marTop w:val="0"/>
              <w:marBottom w:val="0"/>
              <w:divBdr>
                <w:top w:val="none" w:sz="0" w:space="0" w:color="auto"/>
                <w:left w:val="none" w:sz="0" w:space="0" w:color="auto"/>
                <w:bottom w:val="none" w:sz="0" w:space="0" w:color="auto"/>
                <w:right w:val="none" w:sz="0" w:space="0" w:color="auto"/>
              </w:divBdr>
            </w:div>
            <w:div w:id="1934968654">
              <w:marLeft w:val="0"/>
              <w:marRight w:val="0"/>
              <w:marTop w:val="0"/>
              <w:marBottom w:val="0"/>
              <w:divBdr>
                <w:top w:val="none" w:sz="0" w:space="0" w:color="auto"/>
                <w:left w:val="none" w:sz="0" w:space="0" w:color="auto"/>
                <w:bottom w:val="none" w:sz="0" w:space="0" w:color="auto"/>
                <w:right w:val="none" w:sz="0" w:space="0" w:color="auto"/>
              </w:divBdr>
            </w:div>
            <w:div w:id="668212219">
              <w:marLeft w:val="0"/>
              <w:marRight w:val="0"/>
              <w:marTop w:val="0"/>
              <w:marBottom w:val="0"/>
              <w:divBdr>
                <w:top w:val="none" w:sz="0" w:space="0" w:color="auto"/>
                <w:left w:val="none" w:sz="0" w:space="0" w:color="auto"/>
                <w:bottom w:val="none" w:sz="0" w:space="0" w:color="auto"/>
                <w:right w:val="none" w:sz="0" w:space="0" w:color="auto"/>
              </w:divBdr>
            </w:div>
            <w:div w:id="394621445">
              <w:marLeft w:val="0"/>
              <w:marRight w:val="0"/>
              <w:marTop w:val="0"/>
              <w:marBottom w:val="0"/>
              <w:divBdr>
                <w:top w:val="none" w:sz="0" w:space="0" w:color="auto"/>
                <w:left w:val="none" w:sz="0" w:space="0" w:color="auto"/>
                <w:bottom w:val="none" w:sz="0" w:space="0" w:color="auto"/>
                <w:right w:val="none" w:sz="0" w:space="0" w:color="auto"/>
              </w:divBdr>
            </w:div>
            <w:div w:id="1110396995">
              <w:marLeft w:val="0"/>
              <w:marRight w:val="0"/>
              <w:marTop w:val="0"/>
              <w:marBottom w:val="0"/>
              <w:divBdr>
                <w:top w:val="none" w:sz="0" w:space="0" w:color="auto"/>
                <w:left w:val="none" w:sz="0" w:space="0" w:color="auto"/>
                <w:bottom w:val="none" w:sz="0" w:space="0" w:color="auto"/>
                <w:right w:val="none" w:sz="0" w:space="0" w:color="auto"/>
              </w:divBdr>
            </w:div>
            <w:div w:id="1793666253">
              <w:marLeft w:val="0"/>
              <w:marRight w:val="0"/>
              <w:marTop w:val="0"/>
              <w:marBottom w:val="0"/>
              <w:divBdr>
                <w:top w:val="none" w:sz="0" w:space="0" w:color="auto"/>
                <w:left w:val="none" w:sz="0" w:space="0" w:color="auto"/>
                <w:bottom w:val="none" w:sz="0" w:space="0" w:color="auto"/>
                <w:right w:val="none" w:sz="0" w:space="0" w:color="auto"/>
              </w:divBdr>
            </w:div>
            <w:div w:id="1556744034">
              <w:marLeft w:val="0"/>
              <w:marRight w:val="0"/>
              <w:marTop w:val="0"/>
              <w:marBottom w:val="0"/>
              <w:divBdr>
                <w:top w:val="none" w:sz="0" w:space="0" w:color="auto"/>
                <w:left w:val="none" w:sz="0" w:space="0" w:color="auto"/>
                <w:bottom w:val="none" w:sz="0" w:space="0" w:color="auto"/>
                <w:right w:val="none" w:sz="0" w:space="0" w:color="auto"/>
              </w:divBdr>
            </w:div>
            <w:div w:id="487283821">
              <w:marLeft w:val="0"/>
              <w:marRight w:val="0"/>
              <w:marTop w:val="0"/>
              <w:marBottom w:val="0"/>
              <w:divBdr>
                <w:top w:val="none" w:sz="0" w:space="0" w:color="auto"/>
                <w:left w:val="none" w:sz="0" w:space="0" w:color="auto"/>
                <w:bottom w:val="none" w:sz="0" w:space="0" w:color="auto"/>
                <w:right w:val="none" w:sz="0" w:space="0" w:color="auto"/>
              </w:divBdr>
            </w:div>
            <w:div w:id="1598244749">
              <w:marLeft w:val="0"/>
              <w:marRight w:val="0"/>
              <w:marTop w:val="0"/>
              <w:marBottom w:val="0"/>
              <w:divBdr>
                <w:top w:val="none" w:sz="0" w:space="0" w:color="auto"/>
                <w:left w:val="none" w:sz="0" w:space="0" w:color="auto"/>
                <w:bottom w:val="none" w:sz="0" w:space="0" w:color="auto"/>
                <w:right w:val="none" w:sz="0" w:space="0" w:color="auto"/>
              </w:divBdr>
            </w:div>
            <w:div w:id="2121489146">
              <w:marLeft w:val="0"/>
              <w:marRight w:val="0"/>
              <w:marTop w:val="0"/>
              <w:marBottom w:val="0"/>
              <w:divBdr>
                <w:top w:val="none" w:sz="0" w:space="0" w:color="auto"/>
                <w:left w:val="none" w:sz="0" w:space="0" w:color="auto"/>
                <w:bottom w:val="none" w:sz="0" w:space="0" w:color="auto"/>
                <w:right w:val="none" w:sz="0" w:space="0" w:color="auto"/>
              </w:divBdr>
            </w:div>
            <w:div w:id="1035811415">
              <w:marLeft w:val="0"/>
              <w:marRight w:val="0"/>
              <w:marTop w:val="0"/>
              <w:marBottom w:val="0"/>
              <w:divBdr>
                <w:top w:val="none" w:sz="0" w:space="0" w:color="auto"/>
                <w:left w:val="none" w:sz="0" w:space="0" w:color="auto"/>
                <w:bottom w:val="none" w:sz="0" w:space="0" w:color="auto"/>
                <w:right w:val="none" w:sz="0" w:space="0" w:color="auto"/>
              </w:divBdr>
            </w:div>
            <w:div w:id="163058257">
              <w:marLeft w:val="0"/>
              <w:marRight w:val="0"/>
              <w:marTop w:val="0"/>
              <w:marBottom w:val="0"/>
              <w:divBdr>
                <w:top w:val="none" w:sz="0" w:space="0" w:color="auto"/>
                <w:left w:val="none" w:sz="0" w:space="0" w:color="auto"/>
                <w:bottom w:val="none" w:sz="0" w:space="0" w:color="auto"/>
                <w:right w:val="none" w:sz="0" w:space="0" w:color="auto"/>
              </w:divBdr>
            </w:div>
            <w:div w:id="1642925446">
              <w:marLeft w:val="0"/>
              <w:marRight w:val="0"/>
              <w:marTop w:val="0"/>
              <w:marBottom w:val="0"/>
              <w:divBdr>
                <w:top w:val="none" w:sz="0" w:space="0" w:color="auto"/>
                <w:left w:val="none" w:sz="0" w:space="0" w:color="auto"/>
                <w:bottom w:val="none" w:sz="0" w:space="0" w:color="auto"/>
                <w:right w:val="none" w:sz="0" w:space="0" w:color="auto"/>
              </w:divBdr>
            </w:div>
          </w:divsChild>
        </w:div>
        <w:div w:id="192575892">
          <w:marLeft w:val="0"/>
          <w:marRight w:val="0"/>
          <w:marTop w:val="0"/>
          <w:marBottom w:val="0"/>
          <w:divBdr>
            <w:top w:val="none" w:sz="0" w:space="0" w:color="auto"/>
            <w:left w:val="none" w:sz="0" w:space="0" w:color="auto"/>
            <w:bottom w:val="none" w:sz="0" w:space="0" w:color="auto"/>
            <w:right w:val="none" w:sz="0" w:space="0" w:color="auto"/>
          </w:divBdr>
          <w:divsChild>
            <w:div w:id="919951159">
              <w:marLeft w:val="0"/>
              <w:marRight w:val="0"/>
              <w:marTop w:val="0"/>
              <w:marBottom w:val="0"/>
              <w:divBdr>
                <w:top w:val="none" w:sz="0" w:space="0" w:color="auto"/>
                <w:left w:val="none" w:sz="0" w:space="0" w:color="auto"/>
                <w:bottom w:val="none" w:sz="0" w:space="0" w:color="auto"/>
                <w:right w:val="none" w:sz="0" w:space="0" w:color="auto"/>
              </w:divBdr>
            </w:div>
            <w:div w:id="1429890421">
              <w:marLeft w:val="0"/>
              <w:marRight w:val="0"/>
              <w:marTop w:val="0"/>
              <w:marBottom w:val="0"/>
              <w:divBdr>
                <w:top w:val="none" w:sz="0" w:space="0" w:color="auto"/>
                <w:left w:val="none" w:sz="0" w:space="0" w:color="auto"/>
                <w:bottom w:val="none" w:sz="0" w:space="0" w:color="auto"/>
                <w:right w:val="none" w:sz="0" w:space="0" w:color="auto"/>
              </w:divBdr>
            </w:div>
            <w:div w:id="999120513">
              <w:marLeft w:val="0"/>
              <w:marRight w:val="0"/>
              <w:marTop w:val="0"/>
              <w:marBottom w:val="0"/>
              <w:divBdr>
                <w:top w:val="none" w:sz="0" w:space="0" w:color="auto"/>
                <w:left w:val="none" w:sz="0" w:space="0" w:color="auto"/>
                <w:bottom w:val="none" w:sz="0" w:space="0" w:color="auto"/>
                <w:right w:val="none" w:sz="0" w:space="0" w:color="auto"/>
              </w:divBdr>
            </w:div>
            <w:div w:id="1810904455">
              <w:marLeft w:val="0"/>
              <w:marRight w:val="0"/>
              <w:marTop w:val="0"/>
              <w:marBottom w:val="0"/>
              <w:divBdr>
                <w:top w:val="none" w:sz="0" w:space="0" w:color="auto"/>
                <w:left w:val="none" w:sz="0" w:space="0" w:color="auto"/>
                <w:bottom w:val="none" w:sz="0" w:space="0" w:color="auto"/>
                <w:right w:val="none" w:sz="0" w:space="0" w:color="auto"/>
              </w:divBdr>
            </w:div>
            <w:div w:id="30694779">
              <w:marLeft w:val="0"/>
              <w:marRight w:val="0"/>
              <w:marTop w:val="0"/>
              <w:marBottom w:val="0"/>
              <w:divBdr>
                <w:top w:val="none" w:sz="0" w:space="0" w:color="auto"/>
                <w:left w:val="none" w:sz="0" w:space="0" w:color="auto"/>
                <w:bottom w:val="none" w:sz="0" w:space="0" w:color="auto"/>
                <w:right w:val="none" w:sz="0" w:space="0" w:color="auto"/>
              </w:divBdr>
            </w:div>
            <w:div w:id="1692412698">
              <w:marLeft w:val="0"/>
              <w:marRight w:val="0"/>
              <w:marTop w:val="0"/>
              <w:marBottom w:val="0"/>
              <w:divBdr>
                <w:top w:val="none" w:sz="0" w:space="0" w:color="auto"/>
                <w:left w:val="none" w:sz="0" w:space="0" w:color="auto"/>
                <w:bottom w:val="none" w:sz="0" w:space="0" w:color="auto"/>
                <w:right w:val="none" w:sz="0" w:space="0" w:color="auto"/>
              </w:divBdr>
            </w:div>
            <w:div w:id="1795250348">
              <w:marLeft w:val="0"/>
              <w:marRight w:val="0"/>
              <w:marTop w:val="0"/>
              <w:marBottom w:val="0"/>
              <w:divBdr>
                <w:top w:val="none" w:sz="0" w:space="0" w:color="auto"/>
                <w:left w:val="none" w:sz="0" w:space="0" w:color="auto"/>
                <w:bottom w:val="none" w:sz="0" w:space="0" w:color="auto"/>
                <w:right w:val="none" w:sz="0" w:space="0" w:color="auto"/>
              </w:divBdr>
            </w:div>
            <w:div w:id="1867714755">
              <w:marLeft w:val="0"/>
              <w:marRight w:val="0"/>
              <w:marTop w:val="0"/>
              <w:marBottom w:val="0"/>
              <w:divBdr>
                <w:top w:val="none" w:sz="0" w:space="0" w:color="auto"/>
                <w:left w:val="none" w:sz="0" w:space="0" w:color="auto"/>
                <w:bottom w:val="none" w:sz="0" w:space="0" w:color="auto"/>
                <w:right w:val="none" w:sz="0" w:space="0" w:color="auto"/>
              </w:divBdr>
            </w:div>
            <w:div w:id="1672562672">
              <w:marLeft w:val="0"/>
              <w:marRight w:val="0"/>
              <w:marTop w:val="0"/>
              <w:marBottom w:val="0"/>
              <w:divBdr>
                <w:top w:val="none" w:sz="0" w:space="0" w:color="auto"/>
                <w:left w:val="none" w:sz="0" w:space="0" w:color="auto"/>
                <w:bottom w:val="none" w:sz="0" w:space="0" w:color="auto"/>
                <w:right w:val="none" w:sz="0" w:space="0" w:color="auto"/>
              </w:divBdr>
            </w:div>
            <w:div w:id="440802274">
              <w:marLeft w:val="0"/>
              <w:marRight w:val="0"/>
              <w:marTop w:val="0"/>
              <w:marBottom w:val="0"/>
              <w:divBdr>
                <w:top w:val="none" w:sz="0" w:space="0" w:color="auto"/>
                <w:left w:val="none" w:sz="0" w:space="0" w:color="auto"/>
                <w:bottom w:val="none" w:sz="0" w:space="0" w:color="auto"/>
                <w:right w:val="none" w:sz="0" w:space="0" w:color="auto"/>
              </w:divBdr>
            </w:div>
            <w:div w:id="150030045">
              <w:marLeft w:val="0"/>
              <w:marRight w:val="0"/>
              <w:marTop w:val="0"/>
              <w:marBottom w:val="0"/>
              <w:divBdr>
                <w:top w:val="none" w:sz="0" w:space="0" w:color="auto"/>
                <w:left w:val="none" w:sz="0" w:space="0" w:color="auto"/>
                <w:bottom w:val="none" w:sz="0" w:space="0" w:color="auto"/>
                <w:right w:val="none" w:sz="0" w:space="0" w:color="auto"/>
              </w:divBdr>
            </w:div>
            <w:div w:id="1667783610">
              <w:marLeft w:val="0"/>
              <w:marRight w:val="0"/>
              <w:marTop w:val="0"/>
              <w:marBottom w:val="0"/>
              <w:divBdr>
                <w:top w:val="none" w:sz="0" w:space="0" w:color="auto"/>
                <w:left w:val="none" w:sz="0" w:space="0" w:color="auto"/>
                <w:bottom w:val="none" w:sz="0" w:space="0" w:color="auto"/>
                <w:right w:val="none" w:sz="0" w:space="0" w:color="auto"/>
              </w:divBdr>
            </w:div>
            <w:div w:id="554392737">
              <w:marLeft w:val="0"/>
              <w:marRight w:val="0"/>
              <w:marTop w:val="0"/>
              <w:marBottom w:val="0"/>
              <w:divBdr>
                <w:top w:val="none" w:sz="0" w:space="0" w:color="auto"/>
                <w:left w:val="none" w:sz="0" w:space="0" w:color="auto"/>
                <w:bottom w:val="none" w:sz="0" w:space="0" w:color="auto"/>
                <w:right w:val="none" w:sz="0" w:space="0" w:color="auto"/>
              </w:divBdr>
            </w:div>
            <w:div w:id="747654361">
              <w:marLeft w:val="0"/>
              <w:marRight w:val="0"/>
              <w:marTop w:val="0"/>
              <w:marBottom w:val="0"/>
              <w:divBdr>
                <w:top w:val="none" w:sz="0" w:space="0" w:color="auto"/>
                <w:left w:val="none" w:sz="0" w:space="0" w:color="auto"/>
                <w:bottom w:val="none" w:sz="0" w:space="0" w:color="auto"/>
                <w:right w:val="none" w:sz="0" w:space="0" w:color="auto"/>
              </w:divBdr>
            </w:div>
            <w:div w:id="1051075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3120168">
      <w:bodyDiv w:val="1"/>
      <w:marLeft w:val="0"/>
      <w:marRight w:val="0"/>
      <w:marTop w:val="0"/>
      <w:marBottom w:val="0"/>
      <w:divBdr>
        <w:top w:val="none" w:sz="0" w:space="0" w:color="auto"/>
        <w:left w:val="none" w:sz="0" w:space="0" w:color="auto"/>
        <w:bottom w:val="none" w:sz="0" w:space="0" w:color="auto"/>
        <w:right w:val="none" w:sz="0" w:space="0" w:color="auto"/>
      </w:divBdr>
    </w:div>
    <w:div w:id="1705016022">
      <w:bodyDiv w:val="1"/>
      <w:marLeft w:val="0"/>
      <w:marRight w:val="0"/>
      <w:marTop w:val="0"/>
      <w:marBottom w:val="0"/>
      <w:divBdr>
        <w:top w:val="none" w:sz="0" w:space="0" w:color="auto"/>
        <w:left w:val="none" w:sz="0" w:space="0" w:color="auto"/>
        <w:bottom w:val="none" w:sz="0" w:space="0" w:color="auto"/>
        <w:right w:val="none" w:sz="0" w:space="0" w:color="auto"/>
      </w:divBdr>
    </w:div>
    <w:div w:id="2106798613">
      <w:bodyDiv w:val="1"/>
      <w:marLeft w:val="0"/>
      <w:marRight w:val="0"/>
      <w:marTop w:val="0"/>
      <w:marBottom w:val="0"/>
      <w:divBdr>
        <w:top w:val="none" w:sz="0" w:space="0" w:color="auto"/>
        <w:left w:val="none" w:sz="0" w:space="0" w:color="auto"/>
        <w:bottom w:val="none" w:sz="0" w:space="0" w:color="auto"/>
        <w:right w:val="none" w:sz="0" w:space="0" w:color="auto"/>
      </w:divBdr>
      <w:divsChild>
        <w:div w:id="1613315427">
          <w:marLeft w:val="0"/>
          <w:marRight w:val="0"/>
          <w:marTop w:val="0"/>
          <w:marBottom w:val="0"/>
          <w:divBdr>
            <w:top w:val="none" w:sz="0" w:space="0" w:color="auto"/>
            <w:left w:val="none" w:sz="0" w:space="0" w:color="auto"/>
            <w:bottom w:val="none" w:sz="0" w:space="0" w:color="auto"/>
            <w:right w:val="none" w:sz="0" w:space="0" w:color="auto"/>
          </w:divBdr>
          <w:divsChild>
            <w:div w:id="1590380959">
              <w:marLeft w:val="0"/>
              <w:marRight w:val="0"/>
              <w:marTop w:val="0"/>
              <w:marBottom w:val="0"/>
              <w:divBdr>
                <w:top w:val="none" w:sz="0" w:space="0" w:color="auto"/>
                <w:left w:val="none" w:sz="0" w:space="0" w:color="auto"/>
                <w:bottom w:val="none" w:sz="0" w:space="0" w:color="auto"/>
                <w:right w:val="none" w:sz="0" w:space="0" w:color="auto"/>
              </w:divBdr>
            </w:div>
            <w:div w:id="93287592">
              <w:marLeft w:val="0"/>
              <w:marRight w:val="0"/>
              <w:marTop w:val="0"/>
              <w:marBottom w:val="0"/>
              <w:divBdr>
                <w:top w:val="none" w:sz="0" w:space="0" w:color="auto"/>
                <w:left w:val="none" w:sz="0" w:space="0" w:color="auto"/>
                <w:bottom w:val="none" w:sz="0" w:space="0" w:color="auto"/>
                <w:right w:val="none" w:sz="0" w:space="0" w:color="auto"/>
              </w:divBdr>
            </w:div>
            <w:div w:id="207572764">
              <w:marLeft w:val="0"/>
              <w:marRight w:val="0"/>
              <w:marTop w:val="0"/>
              <w:marBottom w:val="0"/>
              <w:divBdr>
                <w:top w:val="none" w:sz="0" w:space="0" w:color="auto"/>
                <w:left w:val="none" w:sz="0" w:space="0" w:color="auto"/>
                <w:bottom w:val="none" w:sz="0" w:space="0" w:color="auto"/>
                <w:right w:val="none" w:sz="0" w:space="0" w:color="auto"/>
              </w:divBdr>
            </w:div>
            <w:div w:id="1939629977">
              <w:marLeft w:val="0"/>
              <w:marRight w:val="0"/>
              <w:marTop w:val="0"/>
              <w:marBottom w:val="0"/>
              <w:divBdr>
                <w:top w:val="none" w:sz="0" w:space="0" w:color="auto"/>
                <w:left w:val="none" w:sz="0" w:space="0" w:color="auto"/>
                <w:bottom w:val="none" w:sz="0" w:space="0" w:color="auto"/>
                <w:right w:val="none" w:sz="0" w:space="0" w:color="auto"/>
              </w:divBdr>
            </w:div>
            <w:div w:id="2144351036">
              <w:marLeft w:val="0"/>
              <w:marRight w:val="0"/>
              <w:marTop w:val="0"/>
              <w:marBottom w:val="0"/>
              <w:divBdr>
                <w:top w:val="none" w:sz="0" w:space="0" w:color="auto"/>
                <w:left w:val="none" w:sz="0" w:space="0" w:color="auto"/>
                <w:bottom w:val="none" w:sz="0" w:space="0" w:color="auto"/>
                <w:right w:val="none" w:sz="0" w:space="0" w:color="auto"/>
              </w:divBdr>
            </w:div>
            <w:div w:id="789931433">
              <w:marLeft w:val="0"/>
              <w:marRight w:val="0"/>
              <w:marTop w:val="0"/>
              <w:marBottom w:val="0"/>
              <w:divBdr>
                <w:top w:val="none" w:sz="0" w:space="0" w:color="auto"/>
                <w:left w:val="none" w:sz="0" w:space="0" w:color="auto"/>
                <w:bottom w:val="none" w:sz="0" w:space="0" w:color="auto"/>
                <w:right w:val="none" w:sz="0" w:space="0" w:color="auto"/>
              </w:divBdr>
            </w:div>
            <w:div w:id="477461083">
              <w:marLeft w:val="0"/>
              <w:marRight w:val="0"/>
              <w:marTop w:val="0"/>
              <w:marBottom w:val="0"/>
              <w:divBdr>
                <w:top w:val="none" w:sz="0" w:space="0" w:color="auto"/>
                <w:left w:val="none" w:sz="0" w:space="0" w:color="auto"/>
                <w:bottom w:val="none" w:sz="0" w:space="0" w:color="auto"/>
                <w:right w:val="none" w:sz="0" w:space="0" w:color="auto"/>
              </w:divBdr>
            </w:div>
            <w:div w:id="478503770">
              <w:marLeft w:val="0"/>
              <w:marRight w:val="0"/>
              <w:marTop w:val="0"/>
              <w:marBottom w:val="0"/>
              <w:divBdr>
                <w:top w:val="none" w:sz="0" w:space="0" w:color="auto"/>
                <w:left w:val="none" w:sz="0" w:space="0" w:color="auto"/>
                <w:bottom w:val="none" w:sz="0" w:space="0" w:color="auto"/>
                <w:right w:val="none" w:sz="0" w:space="0" w:color="auto"/>
              </w:divBdr>
            </w:div>
            <w:div w:id="284195111">
              <w:marLeft w:val="0"/>
              <w:marRight w:val="0"/>
              <w:marTop w:val="0"/>
              <w:marBottom w:val="0"/>
              <w:divBdr>
                <w:top w:val="none" w:sz="0" w:space="0" w:color="auto"/>
                <w:left w:val="none" w:sz="0" w:space="0" w:color="auto"/>
                <w:bottom w:val="none" w:sz="0" w:space="0" w:color="auto"/>
                <w:right w:val="none" w:sz="0" w:space="0" w:color="auto"/>
              </w:divBdr>
            </w:div>
            <w:div w:id="2021005643">
              <w:marLeft w:val="0"/>
              <w:marRight w:val="0"/>
              <w:marTop w:val="0"/>
              <w:marBottom w:val="0"/>
              <w:divBdr>
                <w:top w:val="none" w:sz="0" w:space="0" w:color="auto"/>
                <w:left w:val="none" w:sz="0" w:space="0" w:color="auto"/>
                <w:bottom w:val="none" w:sz="0" w:space="0" w:color="auto"/>
                <w:right w:val="none" w:sz="0" w:space="0" w:color="auto"/>
              </w:divBdr>
            </w:div>
            <w:div w:id="1388336362">
              <w:marLeft w:val="0"/>
              <w:marRight w:val="0"/>
              <w:marTop w:val="0"/>
              <w:marBottom w:val="0"/>
              <w:divBdr>
                <w:top w:val="none" w:sz="0" w:space="0" w:color="auto"/>
                <w:left w:val="none" w:sz="0" w:space="0" w:color="auto"/>
                <w:bottom w:val="none" w:sz="0" w:space="0" w:color="auto"/>
                <w:right w:val="none" w:sz="0" w:space="0" w:color="auto"/>
              </w:divBdr>
            </w:div>
            <w:div w:id="859273368">
              <w:marLeft w:val="0"/>
              <w:marRight w:val="0"/>
              <w:marTop w:val="0"/>
              <w:marBottom w:val="0"/>
              <w:divBdr>
                <w:top w:val="none" w:sz="0" w:space="0" w:color="auto"/>
                <w:left w:val="none" w:sz="0" w:space="0" w:color="auto"/>
                <w:bottom w:val="none" w:sz="0" w:space="0" w:color="auto"/>
                <w:right w:val="none" w:sz="0" w:space="0" w:color="auto"/>
              </w:divBdr>
            </w:div>
            <w:div w:id="2704959">
              <w:marLeft w:val="0"/>
              <w:marRight w:val="0"/>
              <w:marTop w:val="0"/>
              <w:marBottom w:val="0"/>
              <w:divBdr>
                <w:top w:val="none" w:sz="0" w:space="0" w:color="auto"/>
                <w:left w:val="none" w:sz="0" w:space="0" w:color="auto"/>
                <w:bottom w:val="none" w:sz="0" w:space="0" w:color="auto"/>
                <w:right w:val="none" w:sz="0" w:space="0" w:color="auto"/>
              </w:divBdr>
            </w:div>
            <w:div w:id="125244396">
              <w:marLeft w:val="0"/>
              <w:marRight w:val="0"/>
              <w:marTop w:val="0"/>
              <w:marBottom w:val="0"/>
              <w:divBdr>
                <w:top w:val="none" w:sz="0" w:space="0" w:color="auto"/>
                <w:left w:val="none" w:sz="0" w:space="0" w:color="auto"/>
                <w:bottom w:val="none" w:sz="0" w:space="0" w:color="auto"/>
                <w:right w:val="none" w:sz="0" w:space="0" w:color="auto"/>
              </w:divBdr>
            </w:div>
          </w:divsChild>
        </w:div>
        <w:div w:id="893543660">
          <w:marLeft w:val="0"/>
          <w:marRight w:val="0"/>
          <w:marTop w:val="0"/>
          <w:marBottom w:val="0"/>
          <w:divBdr>
            <w:top w:val="none" w:sz="0" w:space="0" w:color="auto"/>
            <w:left w:val="none" w:sz="0" w:space="0" w:color="auto"/>
            <w:bottom w:val="none" w:sz="0" w:space="0" w:color="auto"/>
            <w:right w:val="none" w:sz="0" w:space="0" w:color="auto"/>
          </w:divBdr>
          <w:divsChild>
            <w:div w:id="1193543091">
              <w:marLeft w:val="0"/>
              <w:marRight w:val="0"/>
              <w:marTop w:val="0"/>
              <w:marBottom w:val="0"/>
              <w:divBdr>
                <w:top w:val="none" w:sz="0" w:space="0" w:color="auto"/>
                <w:left w:val="none" w:sz="0" w:space="0" w:color="auto"/>
                <w:bottom w:val="none" w:sz="0" w:space="0" w:color="auto"/>
                <w:right w:val="none" w:sz="0" w:space="0" w:color="auto"/>
              </w:divBdr>
            </w:div>
            <w:div w:id="886256093">
              <w:marLeft w:val="0"/>
              <w:marRight w:val="0"/>
              <w:marTop w:val="0"/>
              <w:marBottom w:val="0"/>
              <w:divBdr>
                <w:top w:val="none" w:sz="0" w:space="0" w:color="auto"/>
                <w:left w:val="none" w:sz="0" w:space="0" w:color="auto"/>
                <w:bottom w:val="none" w:sz="0" w:space="0" w:color="auto"/>
                <w:right w:val="none" w:sz="0" w:space="0" w:color="auto"/>
              </w:divBdr>
            </w:div>
            <w:div w:id="315032440">
              <w:marLeft w:val="0"/>
              <w:marRight w:val="0"/>
              <w:marTop w:val="0"/>
              <w:marBottom w:val="0"/>
              <w:divBdr>
                <w:top w:val="none" w:sz="0" w:space="0" w:color="auto"/>
                <w:left w:val="none" w:sz="0" w:space="0" w:color="auto"/>
                <w:bottom w:val="none" w:sz="0" w:space="0" w:color="auto"/>
                <w:right w:val="none" w:sz="0" w:space="0" w:color="auto"/>
              </w:divBdr>
            </w:div>
            <w:div w:id="936520058">
              <w:marLeft w:val="0"/>
              <w:marRight w:val="0"/>
              <w:marTop w:val="0"/>
              <w:marBottom w:val="0"/>
              <w:divBdr>
                <w:top w:val="none" w:sz="0" w:space="0" w:color="auto"/>
                <w:left w:val="none" w:sz="0" w:space="0" w:color="auto"/>
                <w:bottom w:val="none" w:sz="0" w:space="0" w:color="auto"/>
                <w:right w:val="none" w:sz="0" w:space="0" w:color="auto"/>
              </w:divBdr>
            </w:div>
            <w:div w:id="983194681">
              <w:marLeft w:val="0"/>
              <w:marRight w:val="0"/>
              <w:marTop w:val="0"/>
              <w:marBottom w:val="0"/>
              <w:divBdr>
                <w:top w:val="none" w:sz="0" w:space="0" w:color="auto"/>
                <w:left w:val="none" w:sz="0" w:space="0" w:color="auto"/>
                <w:bottom w:val="none" w:sz="0" w:space="0" w:color="auto"/>
                <w:right w:val="none" w:sz="0" w:space="0" w:color="auto"/>
              </w:divBdr>
            </w:div>
            <w:div w:id="1668362584">
              <w:marLeft w:val="0"/>
              <w:marRight w:val="0"/>
              <w:marTop w:val="0"/>
              <w:marBottom w:val="0"/>
              <w:divBdr>
                <w:top w:val="none" w:sz="0" w:space="0" w:color="auto"/>
                <w:left w:val="none" w:sz="0" w:space="0" w:color="auto"/>
                <w:bottom w:val="none" w:sz="0" w:space="0" w:color="auto"/>
                <w:right w:val="none" w:sz="0" w:space="0" w:color="auto"/>
              </w:divBdr>
            </w:div>
            <w:div w:id="751706185">
              <w:marLeft w:val="0"/>
              <w:marRight w:val="0"/>
              <w:marTop w:val="0"/>
              <w:marBottom w:val="0"/>
              <w:divBdr>
                <w:top w:val="none" w:sz="0" w:space="0" w:color="auto"/>
                <w:left w:val="none" w:sz="0" w:space="0" w:color="auto"/>
                <w:bottom w:val="none" w:sz="0" w:space="0" w:color="auto"/>
                <w:right w:val="none" w:sz="0" w:space="0" w:color="auto"/>
              </w:divBdr>
            </w:div>
            <w:div w:id="789132548">
              <w:marLeft w:val="0"/>
              <w:marRight w:val="0"/>
              <w:marTop w:val="0"/>
              <w:marBottom w:val="0"/>
              <w:divBdr>
                <w:top w:val="none" w:sz="0" w:space="0" w:color="auto"/>
                <w:left w:val="none" w:sz="0" w:space="0" w:color="auto"/>
                <w:bottom w:val="none" w:sz="0" w:space="0" w:color="auto"/>
                <w:right w:val="none" w:sz="0" w:space="0" w:color="auto"/>
              </w:divBdr>
            </w:div>
            <w:div w:id="2075351455">
              <w:marLeft w:val="0"/>
              <w:marRight w:val="0"/>
              <w:marTop w:val="0"/>
              <w:marBottom w:val="0"/>
              <w:divBdr>
                <w:top w:val="none" w:sz="0" w:space="0" w:color="auto"/>
                <w:left w:val="none" w:sz="0" w:space="0" w:color="auto"/>
                <w:bottom w:val="none" w:sz="0" w:space="0" w:color="auto"/>
                <w:right w:val="none" w:sz="0" w:space="0" w:color="auto"/>
              </w:divBdr>
            </w:div>
            <w:div w:id="1313292319">
              <w:marLeft w:val="0"/>
              <w:marRight w:val="0"/>
              <w:marTop w:val="0"/>
              <w:marBottom w:val="0"/>
              <w:divBdr>
                <w:top w:val="none" w:sz="0" w:space="0" w:color="auto"/>
                <w:left w:val="none" w:sz="0" w:space="0" w:color="auto"/>
                <w:bottom w:val="none" w:sz="0" w:space="0" w:color="auto"/>
                <w:right w:val="none" w:sz="0" w:space="0" w:color="auto"/>
              </w:divBdr>
            </w:div>
            <w:div w:id="149568585">
              <w:marLeft w:val="0"/>
              <w:marRight w:val="0"/>
              <w:marTop w:val="0"/>
              <w:marBottom w:val="0"/>
              <w:divBdr>
                <w:top w:val="none" w:sz="0" w:space="0" w:color="auto"/>
                <w:left w:val="none" w:sz="0" w:space="0" w:color="auto"/>
                <w:bottom w:val="none" w:sz="0" w:space="0" w:color="auto"/>
                <w:right w:val="none" w:sz="0" w:space="0" w:color="auto"/>
              </w:divBdr>
            </w:div>
            <w:div w:id="1733848762">
              <w:marLeft w:val="0"/>
              <w:marRight w:val="0"/>
              <w:marTop w:val="0"/>
              <w:marBottom w:val="0"/>
              <w:divBdr>
                <w:top w:val="none" w:sz="0" w:space="0" w:color="auto"/>
                <w:left w:val="none" w:sz="0" w:space="0" w:color="auto"/>
                <w:bottom w:val="none" w:sz="0" w:space="0" w:color="auto"/>
                <w:right w:val="none" w:sz="0" w:space="0" w:color="auto"/>
              </w:divBdr>
            </w:div>
            <w:div w:id="58939395">
              <w:marLeft w:val="0"/>
              <w:marRight w:val="0"/>
              <w:marTop w:val="0"/>
              <w:marBottom w:val="0"/>
              <w:divBdr>
                <w:top w:val="none" w:sz="0" w:space="0" w:color="auto"/>
                <w:left w:val="none" w:sz="0" w:space="0" w:color="auto"/>
                <w:bottom w:val="none" w:sz="0" w:space="0" w:color="auto"/>
                <w:right w:val="none" w:sz="0" w:space="0" w:color="auto"/>
              </w:divBdr>
            </w:div>
            <w:div w:id="265894573">
              <w:marLeft w:val="0"/>
              <w:marRight w:val="0"/>
              <w:marTop w:val="0"/>
              <w:marBottom w:val="0"/>
              <w:divBdr>
                <w:top w:val="none" w:sz="0" w:space="0" w:color="auto"/>
                <w:left w:val="none" w:sz="0" w:space="0" w:color="auto"/>
                <w:bottom w:val="none" w:sz="0" w:space="0" w:color="auto"/>
                <w:right w:val="none" w:sz="0" w:space="0" w:color="auto"/>
              </w:divBdr>
            </w:div>
            <w:div w:id="176580703">
              <w:marLeft w:val="0"/>
              <w:marRight w:val="0"/>
              <w:marTop w:val="0"/>
              <w:marBottom w:val="0"/>
              <w:divBdr>
                <w:top w:val="none" w:sz="0" w:space="0" w:color="auto"/>
                <w:left w:val="none" w:sz="0" w:space="0" w:color="auto"/>
                <w:bottom w:val="none" w:sz="0" w:space="0" w:color="auto"/>
                <w:right w:val="none" w:sz="0" w:space="0" w:color="auto"/>
              </w:divBdr>
            </w:div>
            <w:div w:id="1003630909">
              <w:marLeft w:val="0"/>
              <w:marRight w:val="0"/>
              <w:marTop w:val="0"/>
              <w:marBottom w:val="0"/>
              <w:divBdr>
                <w:top w:val="none" w:sz="0" w:space="0" w:color="auto"/>
                <w:left w:val="none" w:sz="0" w:space="0" w:color="auto"/>
                <w:bottom w:val="none" w:sz="0" w:space="0" w:color="auto"/>
                <w:right w:val="none" w:sz="0" w:space="0" w:color="auto"/>
              </w:divBdr>
            </w:div>
            <w:div w:id="222719702">
              <w:marLeft w:val="0"/>
              <w:marRight w:val="0"/>
              <w:marTop w:val="0"/>
              <w:marBottom w:val="0"/>
              <w:divBdr>
                <w:top w:val="none" w:sz="0" w:space="0" w:color="auto"/>
                <w:left w:val="none" w:sz="0" w:space="0" w:color="auto"/>
                <w:bottom w:val="none" w:sz="0" w:space="0" w:color="auto"/>
                <w:right w:val="none" w:sz="0" w:space="0" w:color="auto"/>
              </w:divBdr>
            </w:div>
            <w:div w:id="549196178">
              <w:marLeft w:val="0"/>
              <w:marRight w:val="0"/>
              <w:marTop w:val="0"/>
              <w:marBottom w:val="0"/>
              <w:divBdr>
                <w:top w:val="none" w:sz="0" w:space="0" w:color="auto"/>
                <w:left w:val="none" w:sz="0" w:space="0" w:color="auto"/>
                <w:bottom w:val="none" w:sz="0" w:space="0" w:color="auto"/>
                <w:right w:val="none" w:sz="0" w:space="0" w:color="auto"/>
              </w:divBdr>
            </w:div>
            <w:div w:id="166677740">
              <w:marLeft w:val="0"/>
              <w:marRight w:val="0"/>
              <w:marTop w:val="0"/>
              <w:marBottom w:val="0"/>
              <w:divBdr>
                <w:top w:val="none" w:sz="0" w:space="0" w:color="auto"/>
                <w:left w:val="none" w:sz="0" w:space="0" w:color="auto"/>
                <w:bottom w:val="none" w:sz="0" w:space="0" w:color="auto"/>
                <w:right w:val="none" w:sz="0" w:space="0" w:color="auto"/>
              </w:divBdr>
            </w:div>
            <w:div w:id="679892866">
              <w:marLeft w:val="0"/>
              <w:marRight w:val="0"/>
              <w:marTop w:val="0"/>
              <w:marBottom w:val="0"/>
              <w:divBdr>
                <w:top w:val="none" w:sz="0" w:space="0" w:color="auto"/>
                <w:left w:val="none" w:sz="0" w:space="0" w:color="auto"/>
                <w:bottom w:val="none" w:sz="0" w:space="0" w:color="auto"/>
                <w:right w:val="none" w:sz="0" w:space="0" w:color="auto"/>
              </w:divBdr>
            </w:div>
          </w:divsChild>
        </w:div>
        <w:div w:id="110631465">
          <w:marLeft w:val="0"/>
          <w:marRight w:val="0"/>
          <w:marTop w:val="0"/>
          <w:marBottom w:val="0"/>
          <w:divBdr>
            <w:top w:val="none" w:sz="0" w:space="0" w:color="auto"/>
            <w:left w:val="none" w:sz="0" w:space="0" w:color="auto"/>
            <w:bottom w:val="none" w:sz="0" w:space="0" w:color="auto"/>
            <w:right w:val="none" w:sz="0" w:space="0" w:color="auto"/>
          </w:divBdr>
          <w:divsChild>
            <w:div w:id="1473985273">
              <w:marLeft w:val="0"/>
              <w:marRight w:val="0"/>
              <w:marTop w:val="0"/>
              <w:marBottom w:val="0"/>
              <w:divBdr>
                <w:top w:val="none" w:sz="0" w:space="0" w:color="auto"/>
                <w:left w:val="none" w:sz="0" w:space="0" w:color="auto"/>
                <w:bottom w:val="none" w:sz="0" w:space="0" w:color="auto"/>
                <w:right w:val="none" w:sz="0" w:space="0" w:color="auto"/>
              </w:divBdr>
            </w:div>
            <w:div w:id="1091898579">
              <w:marLeft w:val="0"/>
              <w:marRight w:val="0"/>
              <w:marTop w:val="0"/>
              <w:marBottom w:val="0"/>
              <w:divBdr>
                <w:top w:val="none" w:sz="0" w:space="0" w:color="auto"/>
                <w:left w:val="none" w:sz="0" w:space="0" w:color="auto"/>
                <w:bottom w:val="none" w:sz="0" w:space="0" w:color="auto"/>
                <w:right w:val="none" w:sz="0" w:space="0" w:color="auto"/>
              </w:divBdr>
            </w:div>
            <w:div w:id="2089763657">
              <w:marLeft w:val="0"/>
              <w:marRight w:val="0"/>
              <w:marTop w:val="0"/>
              <w:marBottom w:val="0"/>
              <w:divBdr>
                <w:top w:val="none" w:sz="0" w:space="0" w:color="auto"/>
                <w:left w:val="none" w:sz="0" w:space="0" w:color="auto"/>
                <w:bottom w:val="none" w:sz="0" w:space="0" w:color="auto"/>
                <w:right w:val="none" w:sz="0" w:space="0" w:color="auto"/>
              </w:divBdr>
            </w:div>
            <w:div w:id="56903535">
              <w:marLeft w:val="0"/>
              <w:marRight w:val="0"/>
              <w:marTop w:val="0"/>
              <w:marBottom w:val="0"/>
              <w:divBdr>
                <w:top w:val="none" w:sz="0" w:space="0" w:color="auto"/>
                <w:left w:val="none" w:sz="0" w:space="0" w:color="auto"/>
                <w:bottom w:val="none" w:sz="0" w:space="0" w:color="auto"/>
                <w:right w:val="none" w:sz="0" w:space="0" w:color="auto"/>
              </w:divBdr>
            </w:div>
            <w:div w:id="363748580">
              <w:marLeft w:val="0"/>
              <w:marRight w:val="0"/>
              <w:marTop w:val="0"/>
              <w:marBottom w:val="0"/>
              <w:divBdr>
                <w:top w:val="none" w:sz="0" w:space="0" w:color="auto"/>
                <w:left w:val="none" w:sz="0" w:space="0" w:color="auto"/>
                <w:bottom w:val="none" w:sz="0" w:space="0" w:color="auto"/>
                <w:right w:val="none" w:sz="0" w:space="0" w:color="auto"/>
              </w:divBdr>
            </w:div>
            <w:div w:id="1519658814">
              <w:marLeft w:val="0"/>
              <w:marRight w:val="0"/>
              <w:marTop w:val="0"/>
              <w:marBottom w:val="0"/>
              <w:divBdr>
                <w:top w:val="none" w:sz="0" w:space="0" w:color="auto"/>
                <w:left w:val="none" w:sz="0" w:space="0" w:color="auto"/>
                <w:bottom w:val="none" w:sz="0" w:space="0" w:color="auto"/>
                <w:right w:val="none" w:sz="0" w:space="0" w:color="auto"/>
              </w:divBdr>
            </w:div>
            <w:div w:id="1979407686">
              <w:marLeft w:val="0"/>
              <w:marRight w:val="0"/>
              <w:marTop w:val="0"/>
              <w:marBottom w:val="0"/>
              <w:divBdr>
                <w:top w:val="none" w:sz="0" w:space="0" w:color="auto"/>
                <w:left w:val="none" w:sz="0" w:space="0" w:color="auto"/>
                <w:bottom w:val="none" w:sz="0" w:space="0" w:color="auto"/>
                <w:right w:val="none" w:sz="0" w:space="0" w:color="auto"/>
              </w:divBdr>
            </w:div>
            <w:div w:id="2000647674">
              <w:marLeft w:val="0"/>
              <w:marRight w:val="0"/>
              <w:marTop w:val="0"/>
              <w:marBottom w:val="0"/>
              <w:divBdr>
                <w:top w:val="none" w:sz="0" w:space="0" w:color="auto"/>
                <w:left w:val="none" w:sz="0" w:space="0" w:color="auto"/>
                <w:bottom w:val="none" w:sz="0" w:space="0" w:color="auto"/>
                <w:right w:val="none" w:sz="0" w:space="0" w:color="auto"/>
              </w:divBdr>
            </w:div>
            <w:div w:id="1459296839">
              <w:marLeft w:val="0"/>
              <w:marRight w:val="0"/>
              <w:marTop w:val="0"/>
              <w:marBottom w:val="0"/>
              <w:divBdr>
                <w:top w:val="none" w:sz="0" w:space="0" w:color="auto"/>
                <w:left w:val="none" w:sz="0" w:space="0" w:color="auto"/>
                <w:bottom w:val="none" w:sz="0" w:space="0" w:color="auto"/>
                <w:right w:val="none" w:sz="0" w:space="0" w:color="auto"/>
              </w:divBdr>
            </w:div>
            <w:div w:id="709232277">
              <w:marLeft w:val="0"/>
              <w:marRight w:val="0"/>
              <w:marTop w:val="0"/>
              <w:marBottom w:val="0"/>
              <w:divBdr>
                <w:top w:val="none" w:sz="0" w:space="0" w:color="auto"/>
                <w:left w:val="none" w:sz="0" w:space="0" w:color="auto"/>
                <w:bottom w:val="none" w:sz="0" w:space="0" w:color="auto"/>
                <w:right w:val="none" w:sz="0" w:space="0" w:color="auto"/>
              </w:divBdr>
            </w:div>
            <w:div w:id="653411784">
              <w:marLeft w:val="0"/>
              <w:marRight w:val="0"/>
              <w:marTop w:val="0"/>
              <w:marBottom w:val="0"/>
              <w:divBdr>
                <w:top w:val="none" w:sz="0" w:space="0" w:color="auto"/>
                <w:left w:val="none" w:sz="0" w:space="0" w:color="auto"/>
                <w:bottom w:val="none" w:sz="0" w:space="0" w:color="auto"/>
                <w:right w:val="none" w:sz="0" w:space="0" w:color="auto"/>
              </w:divBdr>
            </w:div>
            <w:div w:id="431321286">
              <w:marLeft w:val="0"/>
              <w:marRight w:val="0"/>
              <w:marTop w:val="0"/>
              <w:marBottom w:val="0"/>
              <w:divBdr>
                <w:top w:val="none" w:sz="0" w:space="0" w:color="auto"/>
                <w:left w:val="none" w:sz="0" w:space="0" w:color="auto"/>
                <w:bottom w:val="none" w:sz="0" w:space="0" w:color="auto"/>
                <w:right w:val="none" w:sz="0" w:space="0" w:color="auto"/>
              </w:divBdr>
            </w:div>
            <w:div w:id="470368356">
              <w:marLeft w:val="0"/>
              <w:marRight w:val="0"/>
              <w:marTop w:val="0"/>
              <w:marBottom w:val="0"/>
              <w:divBdr>
                <w:top w:val="none" w:sz="0" w:space="0" w:color="auto"/>
                <w:left w:val="none" w:sz="0" w:space="0" w:color="auto"/>
                <w:bottom w:val="none" w:sz="0" w:space="0" w:color="auto"/>
                <w:right w:val="none" w:sz="0" w:space="0" w:color="auto"/>
              </w:divBdr>
            </w:div>
            <w:div w:id="1238130514">
              <w:marLeft w:val="0"/>
              <w:marRight w:val="0"/>
              <w:marTop w:val="0"/>
              <w:marBottom w:val="0"/>
              <w:divBdr>
                <w:top w:val="none" w:sz="0" w:space="0" w:color="auto"/>
                <w:left w:val="none" w:sz="0" w:space="0" w:color="auto"/>
                <w:bottom w:val="none" w:sz="0" w:space="0" w:color="auto"/>
                <w:right w:val="none" w:sz="0" w:space="0" w:color="auto"/>
              </w:divBdr>
            </w:div>
            <w:div w:id="1250624683">
              <w:marLeft w:val="0"/>
              <w:marRight w:val="0"/>
              <w:marTop w:val="0"/>
              <w:marBottom w:val="0"/>
              <w:divBdr>
                <w:top w:val="none" w:sz="0" w:space="0" w:color="auto"/>
                <w:left w:val="none" w:sz="0" w:space="0" w:color="auto"/>
                <w:bottom w:val="none" w:sz="0" w:space="0" w:color="auto"/>
                <w:right w:val="none" w:sz="0" w:space="0" w:color="auto"/>
              </w:divBdr>
            </w:div>
            <w:div w:id="540824344">
              <w:marLeft w:val="0"/>
              <w:marRight w:val="0"/>
              <w:marTop w:val="0"/>
              <w:marBottom w:val="0"/>
              <w:divBdr>
                <w:top w:val="none" w:sz="0" w:space="0" w:color="auto"/>
                <w:left w:val="none" w:sz="0" w:space="0" w:color="auto"/>
                <w:bottom w:val="none" w:sz="0" w:space="0" w:color="auto"/>
                <w:right w:val="none" w:sz="0" w:space="0" w:color="auto"/>
              </w:divBdr>
            </w:div>
            <w:div w:id="1370377596">
              <w:marLeft w:val="0"/>
              <w:marRight w:val="0"/>
              <w:marTop w:val="0"/>
              <w:marBottom w:val="0"/>
              <w:divBdr>
                <w:top w:val="none" w:sz="0" w:space="0" w:color="auto"/>
                <w:left w:val="none" w:sz="0" w:space="0" w:color="auto"/>
                <w:bottom w:val="none" w:sz="0" w:space="0" w:color="auto"/>
                <w:right w:val="none" w:sz="0" w:space="0" w:color="auto"/>
              </w:divBdr>
            </w:div>
            <w:div w:id="444547385">
              <w:marLeft w:val="0"/>
              <w:marRight w:val="0"/>
              <w:marTop w:val="0"/>
              <w:marBottom w:val="0"/>
              <w:divBdr>
                <w:top w:val="none" w:sz="0" w:space="0" w:color="auto"/>
                <w:left w:val="none" w:sz="0" w:space="0" w:color="auto"/>
                <w:bottom w:val="none" w:sz="0" w:space="0" w:color="auto"/>
                <w:right w:val="none" w:sz="0" w:space="0" w:color="auto"/>
              </w:divBdr>
            </w:div>
            <w:div w:id="19626313">
              <w:marLeft w:val="0"/>
              <w:marRight w:val="0"/>
              <w:marTop w:val="0"/>
              <w:marBottom w:val="0"/>
              <w:divBdr>
                <w:top w:val="none" w:sz="0" w:space="0" w:color="auto"/>
                <w:left w:val="none" w:sz="0" w:space="0" w:color="auto"/>
                <w:bottom w:val="none" w:sz="0" w:space="0" w:color="auto"/>
                <w:right w:val="none" w:sz="0" w:space="0" w:color="auto"/>
              </w:divBdr>
            </w:div>
            <w:div w:id="957687307">
              <w:marLeft w:val="0"/>
              <w:marRight w:val="0"/>
              <w:marTop w:val="0"/>
              <w:marBottom w:val="0"/>
              <w:divBdr>
                <w:top w:val="none" w:sz="0" w:space="0" w:color="auto"/>
                <w:left w:val="none" w:sz="0" w:space="0" w:color="auto"/>
                <w:bottom w:val="none" w:sz="0" w:space="0" w:color="auto"/>
                <w:right w:val="none" w:sz="0" w:space="0" w:color="auto"/>
              </w:divBdr>
            </w:div>
          </w:divsChild>
        </w:div>
        <w:div w:id="1042024705">
          <w:marLeft w:val="0"/>
          <w:marRight w:val="0"/>
          <w:marTop w:val="0"/>
          <w:marBottom w:val="0"/>
          <w:divBdr>
            <w:top w:val="none" w:sz="0" w:space="0" w:color="auto"/>
            <w:left w:val="none" w:sz="0" w:space="0" w:color="auto"/>
            <w:bottom w:val="none" w:sz="0" w:space="0" w:color="auto"/>
            <w:right w:val="none" w:sz="0" w:space="0" w:color="auto"/>
          </w:divBdr>
          <w:divsChild>
            <w:div w:id="1312293883">
              <w:marLeft w:val="0"/>
              <w:marRight w:val="0"/>
              <w:marTop w:val="0"/>
              <w:marBottom w:val="0"/>
              <w:divBdr>
                <w:top w:val="none" w:sz="0" w:space="0" w:color="auto"/>
                <w:left w:val="none" w:sz="0" w:space="0" w:color="auto"/>
                <w:bottom w:val="none" w:sz="0" w:space="0" w:color="auto"/>
                <w:right w:val="none" w:sz="0" w:space="0" w:color="auto"/>
              </w:divBdr>
            </w:div>
            <w:div w:id="679115714">
              <w:marLeft w:val="0"/>
              <w:marRight w:val="0"/>
              <w:marTop w:val="0"/>
              <w:marBottom w:val="0"/>
              <w:divBdr>
                <w:top w:val="none" w:sz="0" w:space="0" w:color="auto"/>
                <w:left w:val="none" w:sz="0" w:space="0" w:color="auto"/>
                <w:bottom w:val="none" w:sz="0" w:space="0" w:color="auto"/>
                <w:right w:val="none" w:sz="0" w:space="0" w:color="auto"/>
              </w:divBdr>
            </w:div>
            <w:div w:id="346758627">
              <w:marLeft w:val="0"/>
              <w:marRight w:val="0"/>
              <w:marTop w:val="0"/>
              <w:marBottom w:val="0"/>
              <w:divBdr>
                <w:top w:val="none" w:sz="0" w:space="0" w:color="auto"/>
                <w:left w:val="none" w:sz="0" w:space="0" w:color="auto"/>
                <w:bottom w:val="none" w:sz="0" w:space="0" w:color="auto"/>
                <w:right w:val="none" w:sz="0" w:space="0" w:color="auto"/>
              </w:divBdr>
            </w:div>
            <w:div w:id="2110274238">
              <w:marLeft w:val="0"/>
              <w:marRight w:val="0"/>
              <w:marTop w:val="0"/>
              <w:marBottom w:val="0"/>
              <w:divBdr>
                <w:top w:val="none" w:sz="0" w:space="0" w:color="auto"/>
                <w:left w:val="none" w:sz="0" w:space="0" w:color="auto"/>
                <w:bottom w:val="none" w:sz="0" w:space="0" w:color="auto"/>
                <w:right w:val="none" w:sz="0" w:space="0" w:color="auto"/>
              </w:divBdr>
            </w:div>
            <w:div w:id="702167817">
              <w:marLeft w:val="0"/>
              <w:marRight w:val="0"/>
              <w:marTop w:val="0"/>
              <w:marBottom w:val="0"/>
              <w:divBdr>
                <w:top w:val="none" w:sz="0" w:space="0" w:color="auto"/>
                <w:left w:val="none" w:sz="0" w:space="0" w:color="auto"/>
                <w:bottom w:val="none" w:sz="0" w:space="0" w:color="auto"/>
                <w:right w:val="none" w:sz="0" w:space="0" w:color="auto"/>
              </w:divBdr>
            </w:div>
            <w:div w:id="1579437159">
              <w:marLeft w:val="0"/>
              <w:marRight w:val="0"/>
              <w:marTop w:val="0"/>
              <w:marBottom w:val="0"/>
              <w:divBdr>
                <w:top w:val="none" w:sz="0" w:space="0" w:color="auto"/>
                <w:left w:val="none" w:sz="0" w:space="0" w:color="auto"/>
                <w:bottom w:val="none" w:sz="0" w:space="0" w:color="auto"/>
                <w:right w:val="none" w:sz="0" w:space="0" w:color="auto"/>
              </w:divBdr>
            </w:div>
            <w:div w:id="1044914823">
              <w:marLeft w:val="0"/>
              <w:marRight w:val="0"/>
              <w:marTop w:val="0"/>
              <w:marBottom w:val="0"/>
              <w:divBdr>
                <w:top w:val="none" w:sz="0" w:space="0" w:color="auto"/>
                <w:left w:val="none" w:sz="0" w:space="0" w:color="auto"/>
                <w:bottom w:val="none" w:sz="0" w:space="0" w:color="auto"/>
                <w:right w:val="none" w:sz="0" w:space="0" w:color="auto"/>
              </w:divBdr>
            </w:div>
            <w:div w:id="2009795013">
              <w:marLeft w:val="0"/>
              <w:marRight w:val="0"/>
              <w:marTop w:val="0"/>
              <w:marBottom w:val="0"/>
              <w:divBdr>
                <w:top w:val="none" w:sz="0" w:space="0" w:color="auto"/>
                <w:left w:val="none" w:sz="0" w:space="0" w:color="auto"/>
                <w:bottom w:val="none" w:sz="0" w:space="0" w:color="auto"/>
                <w:right w:val="none" w:sz="0" w:space="0" w:color="auto"/>
              </w:divBdr>
            </w:div>
            <w:div w:id="1516338164">
              <w:marLeft w:val="0"/>
              <w:marRight w:val="0"/>
              <w:marTop w:val="0"/>
              <w:marBottom w:val="0"/>
              <w:divBdr>
                <w:top w:val="none" w:sz="0" w:space="0" w:color="auto"/>
                <w:left w:val="none" w:sz="0" w:space="0" w:color="auto"/>
                <w:bottom w:val="none" w:sz="0" w:space="0" w:color="auto"/>
                <w:right w:val="none" w:sz="0" w:space="0" w:color="auto"/>
              </w:divBdr>
            </w:div>
            <w:div w:id="1369573685">
              <w:marLeft w:val="0"/>
              <w:marRight w:val="0"/>
              <w:marTop w:val="0"/>
              <w:marBottom w:val="0"/>
              <w:divBdr>
                <w:top w:val="none" w:sz="0" w:space="0" w:color="auto"/>
                <w:left w:val="none" w:sz="0" w:space="0" w:color="auto"/>
                <w:bottom w:val="none" w:sz="0" w:space="0" w:color="auto"/>
                <w:right w:val="none" w:sz="0" w:space="0" w:color="auto"/>
              </w:divBdr>
            </w:div>
            <w:div w:id="362174850">
              <w:marLeft w:val="0"/>
              <w:marRight w:val="0"/>
              <w:marTop w:val="0"/>
              <w:marBottom w:val="0"/>
              <w:divBdr>
                <w:top w:val="none" w:sz="0" w:space="0" w:color="auto"/>
                <w:left w:val="none" w:sz="0" w:space="0" w:color="auto"/>
                <w:bottom w:val="none" w:sz="0" w:space="0" w:color="auto"/>
                <w:right w:val="none" w:sz="0" w:space="0" w:color="auto"/>
              </w:divBdr>
            </w:div>
            <w:div w:id="605230878">
              <w:marLeft w:val="0"/>
              <w:marRight w:val="0"/>
              <w:marTop w:val="0"/>
              <w:marBottom w:val="0"/>
              <w:divBdr>
                <w:top w:val="none" w:sz="0" w:space="0" w:color="auto"/>
                <w:left w:val="none" w:sz="0" w:space="0" w:color="auto"/>
                <w:bottom w:val="none" w:sz="0" w:space="0" w:color="auto"/>
                <w:right w:val="none" w:sz="0" w:space="0" w:color="auto"/>
              </w:divBdr>
            </w:div>
            <w:div w:id="663556893">
              <w:marLeft w:val="0"/>
              <w:marRight w:val="0"/>
              <w:marTop w:val="0"/>
              <w:marBottom w:val="0"/>
              <w:divBdr>
                <w:top w:val="none" w:sz="0" w:space="0" w:color="auto"/>
                <w:left w:val="none" w:sz="0" w:space="0" w:color="auto"/>
                <w:bottom w:val="none" w:sz="0" w:space="0" w:color="auto"/>
                <w:right w:val="none" w:sz="0" w:space="0" w:color="auto"/>
              </w:divBdr>
            </w:div>
            <w:div w:id="174347371">
              <w:marLeft w:val="0"/>
              <w:marRight w:val="0"/>
              <w:marTop w:val="0"/>
              <w:marBottom w:val="0"/>
              <w:divBdr>
                <w:top w:val="none" w:sz="0" w:space="0" w:color="auto"/>
                <w:left w:val="none" w:sz="0" w:space="0" w:color="auto"/>
                <w:bottom w:val="none" w:sz="0" w:space="0" w:color="auto"/>
                <w:right w:val="none" w:sz="0" w:space="0" w:color="auto"/>
              </w:divBdr>
            </w:div>
            <w:div w:id="1161311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apps.procuraduria.gov.co/gi/gi/docs/t-361_2017.htm" TargetMode="External" Id="rId13" /><Relationship Type="http://schemas.openxmlformats.org/officeDocument/2006/relationships/hyperlink" Target="https://www.instagram.com/reel/DOyY2s5gD52/" TargetMode="External" Id="rId18" /><Relationship Type="http://schemas.openxmlformats.org/officeDocument/2006/relationships/customXml" Target="../customXml/item3.xml" Id="rId3" /><Relationship Type="http://schemas.openxmlformats.org/officeDocument/2006/relationships/header" Target="header1.xml" Id="rId21" /><Relationship Type="http://schemas.openxmlformats.org/officeDocument/2006/relationships/settings" Target="settings.xml" Id="rId7" /><Relationship Type="http://schemas.openxmlformats.org/officeDocument/2006/relationships/hyperlink" Target="https://upra.gov.co/sites/default/files/2025-08/14_Santurban.pdf" TargetMode="External" Id="rId12" /><Relationship Type="http://schemas.openxmlformats.org/officeDocument/2006/relationships/hyperlink" Target="https://www.cdmb.gov.co/" TargetMode="External" Id="rId17" /><Relationship Type="http://schemas.microsoft.com/office/2020/10/relationships/intelligence" Target="intelligence2.xml" Id="rId25" /><Relationship Type="http://schemas.openxmlformats.org/officeDocument/2006/relationships/customXml" Target="../customXml/item2.xml" Id="rId2" /><Relationship Type="http://schemas.openxmlformats.org/officeDocument/2006/relationships/hyperlink" Target="https://www.minambiente.gov.co/avanza-la-delimitacion-del-paramo-santurban-berlin-con-campesinos-de-pamplonita/" TargetMode="External" Id="rId16" /><Relationship Type="http://schemas.openxmlformats.org/officeDocument/2006/relationships/hyperlink" Target="https://www.procuraduria.gov.co/Pages/fallo-santurban-sigue-sin-delimitarse-procuraduria-defensoria-alertan-grave-incumplimiento.aspx" TargetMode="Externa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theme" Target="theme/theme1.xml" Id="rId24" /><Relationship Type="http://schemas.openxmlformats.org/officeDocument/2006/relationships/numbering" Target="numbering.xml" Id="rId5" /><Relationship Type="http://schemas.openxmlformats.org/officeDocument/2006/relationships/hyperlink" Target="https://apps.procuraduria.gov.co/gi/gi/docs/t-361_2017.htm" TargetMode="External" Id="rId15" /><Relationship Type="http://schemas.openxmlformats.org/officeDocument/2006/relationships/fontTable" Target="fontTable.xml" Id="rId23" /><Relationship Type="http://schemas.openxmlformats.org/officeDocument/2006/relationships/endnotes" Target="endnotes.xml" Id="rId10" /><Relationship Type="http://schemas.openxmlformats.org/officeDocument/2006/relationships/hyperlink" Target="https://www.cdmb.gov.co/" TargetMode="Externa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www.minambiente.gov.co/avanza-la-delimitacion-del-paramo-santurban-berlin-con-campesinos-de-pamplonita/" TargetMode="External" Id="rId14" /><Relationship Type="http://schemas.openxmlformats.org/officeDocument/2006/relationships/footer" Target="footer1.xml" Id="rId22" /><Relationship Type="http://schemas.openxmlformats.org/officeDocument/2006/relationships/image" Target="/media/image3.png" Id="rId652643166" /></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36fdea3-2e69-4c60-8130-6a6319a71c3c">
      <Terms xmlns="http://schemas.microsoft.com/office/infopath/2007/PartnerControls"/>
    </lcf76f155ced4ddcb4097134ff3c332f>
    <TaxCatchAll xmlns="1a05cbd2-3996-442c-b34a-5028faf53e5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213DE7E0D0206447AE97E2A6C7A9B3D7" ma:contentTypeVersion="19" ma:contentTypeDescription="Crear nuevo documento." ma:contentTypeScope="" ma:versionID="a5dbe2bbe25d94838e8ab6234111374f">
  <xsd:schema xmlns:xsd="http://www.w3.org/2001/XMLSchema" xmlns:xs="http://www.w3.org/2001/XMLSchema" xmlns:p="http://schemas.microsoft.com/office/2006/metadata/properties" xmlns:ns2="136fdea3-2e69-4c60-8130-6a6319a71c3c" xmlns:ns3="1a05cbd2-3996-442c-b34a-5028faf53e55" targetNamespace="http://schemas.microsoft.com/office/2006/metadata/properties" ma:root="true" ma:fieldsID="dd46c73243dadcca21b71aaef5800722" ns2:_="" ns3:_="">
    <xsd:import namespace="136fdea3-2e69-4c60-8130-6a6319a71c3c"/>
    <xsd:import namespace="1a05cbd2-3996-442c-b34a-5028faf53e5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AutoKeyPoints" minOccurs="0"/>
                <xsd:element ref="ns2:MediaServiceKeyPoint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6fdea3-2e69-4c60-8130-6a6319a71c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202ef2ac-9fa5-4cf2-ab23-7792f470ab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a05cbd2-3996-442c-b34a-5028faf53e55" elementFormDefault="qualified">
    <xsd:import namespace="http://schemas.microsoft.com/office/2006/documentManagement/types"/>
    <xsd:import namespace="http://schemas.microsoft.com/office/infopath/2007/PartnerControls"/>
    <xsd:element name="SharedWithUsers" ma:index="16"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42545850-0c82-41f8-98cc-6c9121af0f3b}" ma:internalName="TaxCatchAll" ma:showField="CatchAllData" ma:web="1a05cbd2-3996-442c-b34a-5028faf53e5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1B3EFA-B9D9-4BFA-954E-28548B7DBE34}">
  <ds:schemaRefs>
    <ds:schemaRef ds:uri="http://schemas.microsoft.com/office/2006/metadata/properties"/>
    <ds:schemaRef ds:uri="http://schemas.microsoft.com/office/infopath/2007/PartnerControls"/>
    <ds:schemaRef ds:uri="136fdea3-2e69-4c60-8130-6a6319a71c3c"/>
    <ds:schemaRef ds:uri="1a05cbd2-3996-442c-b34a-5028faf53e55"/>
  </ds:schemaRefs>
</ds:datastoreItem>
</file>

<file path=customXml/itemProps2.xml><?xml version="1.0" encoding="utf-8"?>
<ds:datastoreItem xmlns:ds="http://schemas.openxmlformats.org/officeDocument/2006/customXml" ds:itemID="{B856A2BF-7B87-44DB-879C-AEB7148F049D}">
  <ds:schemaRefs>
    <ds:schemaRef ds:uri="http://schemas.openxmlformats.org/officeDocument/2006/bibliography"/>
  </ds:schemaRefs>
</ds:datastoreItem>
</file>

<file path=customXml/itemProps3.xml><?xml version="1.0" encoding="utf-8"?>
<ds:datastoreItem xmlns:ds="http://schemas.openxmlformats.org/officeDocument/2006/customXml" ds:itemID="{7B253B9C-4E3E-4A06-B2E0-5606802C49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6fdea3-2e69-4c60-8130-6a6319a71c3c"/>
    <ds:schemaRef ds:uri="1a05cbd2-3996-442c-b34a-5028faf53e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E08E03-3F60-4CCB-A9A7-C53A7E156847}">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William Camilo  Baracaldo Godoy</dc:creator>
  <keywords/>
  <dc:description/>
  <lastModifiedBy>Natalia Maria Ramirez Martinez</lastModifiedBy>
  <revision>3</revision>
  <lastPrinted>2023-05-07T17:22:00.0000000Z</lastPrinted>
  <dcterms:created xsi:type="dcterms:W3CDTF">2026-07-12T03:03:00.0000000Z</dcterms:created>
  <dcterms:modified xsi:type="dcterms:W3CDTF">2026-07-12T03:13:21.7849615Z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0x010100213DE7E0D0206447AE97E2A6C7A9B3D7</vt:lpwstr>
  </property>
  <property fmtid="{D5CDD505-2E9C-101B-9397-08002B2CF9AE}" pid="3" name="MediaServiceImageTags">
    <vt:lpwstr/>
  </property>
</Properties>
</file>